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5EC9">
      <w:pPr>
        <w:pStyle w:val="2"/>
        <w:rPr>
          <w:b/>
          <w:sz w:val="28"/>
        </w:rPr>
      </w:pPr>
      <w:r>
        <w:rPr>
          <w:rFonts w:hint="eastAsia" w:ascii="Times New Roman" w:hAnsi="Times New Roman" w:eastAsia="宋体"/>
          <w:sz w:val="24"/>
        </w:rPr>
        <w:t>附件3：比选评分表</w:t>
      </w:r>
      <w:r>
        <w:rPr>
          <w:rFonts w:hint="eastAsia" w:ascii="Times New Roman" w:hAnsi="Times New Roman" w:eastAsia="宋体"/>
          <w:sz w:val="24"/>
          <w:lang w:val="en-US" w:eastAsia="zh-CN"/>
        </w:rPr>
        <w:t xml:space="preserve">                            </w:t>
      </w:r>
      <w:bookmarkStart w:id="0" w:name="_GoBack"/>
      <w:bookmarkEnd w:id="0"/>
      <w:r>
        <w:rPr>
          <w:rFonts w:hint="eastAsia" w:ascii="Times New Roman" w:hAnsi="Times New Roman" w:eastAsia="宋体"/>
          <w:sz w:val="24"/>
          <w:lang w:val="en-US" w:eastAsia="zh-CN"/>
        </w:rPr>
        <w:t xml:space="preserve">        </w:t>
      </w:r>
      <w:r>
        <w:rPr>
          <w:rFonts w:hint="eastAsia"/>
          <w:b/>
          <w:sz w:val="28"/>
        </w:rPr>
        <w:t>比选评分表</w:t>
      </w:r>
    </w:p>
    <w:p w14:paraId="45A8D525">
      <w:pPr>
        <w:ind w:firstLine="420" w:firstLineChars="200"/>
      </w:pPr>
      <w:r>
        <w:rPr>
          <w:rFonts w:hint="eastAsia"/>
        </w:rPr>
        <w:t>项目名称：</w:t>
      </w:r>
    </w:p>
    <w:tbl>
      <w:tblPr>
        <w:tblStyle w:val="3"/>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19"/>
        <w:gridCol w:w="6210"/>
        <w:gridCol w:w="1440"/>
        <w:gridCol w:w="3663"/>
      </w:tblGrid>
      <w:tr w14:paraId="3EBB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988" w:type="dxa"/>
            <w:shd w:val="clear" w:color="auto" w:fill="auto"/>
            <w:vAlign w:val="center"/>
          </w:tcPr>
          <w:p w14:paraId="639A6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14:paraId="4CF9C2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14:paraId="477D1D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14:paraId="0BE4DC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663" w:type="dxa"/>
            <w:shd w:val="clear" w:color="auto" w:fill="auto"/>
            <w:noWrap/>
            <w:vAlign w:val="center"/>
          </w:tcPr>
          <w:p w14:paraId="028CD4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14:paraId="2B59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shd w:val="clear" w:color="auto" w:fill="auto"/>
            <w:vAlign w:val="center"/>
          </w:tcPr>
          <w:p w14:paraId="3489D2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14:paraId="55A18A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14:paraId="401B7DAC">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14:paraId="5FF250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0E6313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168A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8" w:type="dxa"/>
            <w:shd w:val="clear" w:color="auto" w:fill="auto"/>
            <w:vAlign w:val="center"/>
          </w:tcPr>
          <w:p w14:paraId="28273D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14:paraId="13A1384C">
            <w:pPr>
              <w:widowControl/>
              <w:jc w:val="left"/>
              <w:rPr>
                <w:rFonts w:ascii="宋体" w:hAnsi="宋体" w:eastAsia="宋体" w:cs="宋体"/>
                <w:color w:val="000000"/>
                <w:kern w:val="0"/>
                <w:sz w:val="22"/>
              </w:rPr>
            </w:pPr>
          </w:p>
        </w:tc>
        <w:tc>
          <w:tcPr>
            <w:tcW w:w="6210" w:type="dxa"/>
            <w:shd w:val="clear" w:color="auto" w:fill="auto"/>
            <w:noWrap/>
            <w:vAlign w:val="center"/>
          </w:tcPr>
          <w:p w14:paraId="7F9D026C">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14:paraId="6BE53D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171AA2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2732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8" w:type="dxa"/>
            <w:shd w:val="clear" w:color="auto" w:fill="auto"/>
            <w:vAlign w:val="center"/>
          </w:tcPr>
          <w:p w14:paraId="3EFA9AA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19" w:type="dxa"/>
            <w:vMerge w:val="continue"/>
            <w:vAlign w:val="center"/>
          </w:tcPr>
          <w:p w14:paraId="021D99C3">
            <w:pPr>
              <w:widowControl/>
              <w:jc w:val="left"/>
              <w:rPr>
                <w:rFonts w:ascii="宋体" w:hAnsi="宋体" w:eastAsia="宋体" w:cs="宋体"/>
                <w:color w:val="000000"/>
                <w:kern w:val="0"/>
                <w:sz w:val="22"/>
              </w:rPr>
            </w:pPr>
          </w:p>
        </w:tc>
        <w:tc>
          <w:tcPr>
            <w:tcW w:w="6210" w:type="dxa"/>
            <w:shd w:val="clear" w:color="auto" w:fill="auto"/>
            <w:noWrap/>
            <w:vAlign w:val="center"/>
          </w:tcPr>
          <w:p w14:paraId="443D5B6A">
            <w:pPr>
              <w:widowControl/>
              <w:rPr>
                <w:rFonts w:hint="eastAsia" w:ascii="宋体" w:hAnsi="宋体" w:eastAsia="宋体" w:cs="宋体"/>
                <w:color w:val="333333"/>
                <w:kern w:val="0"/>
                <w:sz w:val="22"/>
                <w:lang w:eastAsia="zh-CN"/>
              </w:rPr>
            </w:pPr>
            <w:r>
              <w:rPr>
                <w:rFonts w:hint="eastAsia" w:ascii="宋体" w:hAnsi="宋体" w:eastAsia="宋体" w:cs="宋体"/>
                <w:color w:val="333333"/>
                <w:kern w:val="0"/>
                <w:sz w:val="22"/>
              </w:rPr>
              <w:t>具有专业舞台音响设计、安装及调试甲级资质证书</w:t>
            </w:r>
            <w:r>
              <w:rPr>
                <w:rFonts w:hint="eastAsia" w:ascii="宋体" w:hAnsi="宋体" w:eastAsia="宋体" w:cs="宋体"/>
                <w:color w:val="333333"/>
                <w:kern w:val="0"/>
                <w:sz w:val="22"/>
                <w:lang w:eastAsia="zh-CN"/>
              </w:rPr>
              <w:t>（</w:t>
            </w:r>
            <w:r>
              <w:rPr>
                <w:rFonts w:hint="eastAsia" w:ascii="宋体" w:hAnsi="宋体" w:eastAsia="宋体" w:cs="宋体"/>
                <w:color w:val="333333"/>
                <w:kern w:val="0"/>
                <w:sz w:val="22"/>
                <w:lang w:val="en-US" w:eastAsia="zh-CN"/>
              </w:rPr>
              <w:t>第二包</w:t>
            </w:r>
            <w:r>
              <w:rPr>
                <w:rFonts w:hint="eastAsia" w:ascii="宋体" w:hAnsi="宋体" w:eastAsia="宋体" w:cs="宋体"/>
                <w:color w:val="333333"/>
                <w:kern w:val="0"/>
                <w:sz w:val="22"/>
                <w:lang w:eastAsia="zh-CN"/>
              </w:rPr>
              <w:t>）</w:t>
            </w:r>
          </w:p>
        </w:tc>
        <w:tc>
          <w:tcPr>
            <w:tcW w:w="1440" w:type="dxa"/>
            <w:shd w:val="clear" w:color="auto" w:fill="auto"/>
            <w:noWrap/>
            <w:vAlign w:val="center"/>
          </w:tcPr>
          <w:p w14:paraId="663E52A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763F379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617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88" w:type="dxa"/>
            <w:shd w:val="clear" w:color="auto" w:fill="auto"/>
            <w:vAlign w:val="center"/>
          </w:tcPr>
          <w:p w14:paraId="174DE5E6">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1019" w:type="dxa"/>
            <w:vMerge w:val="continue"/>
            <w:vAlign w:val="center"/>
          </w:tcPr>
          <w:p w14:paraId="196A95D9">
            <w:pPr>
              <w:widowControl/>
              <w:jc w:val="left"/>
              <w:rPr>
                <w:rFonts w:ascii="宋体" w:hAnsi="宋体" w:eastAsia="宋体" w:cs="宋体"/>
                <w:color w:val="000000"/>
                <w:kern w:val="0"/>
                <w:sz w:val="22"/>
              </w:rPr>
            </w:pPr>
          </w:p>
        </w:tc>
        <w:tc>
          <w:tcPr>
            <w:tcW w:w="6210" w:type="dxa"/>
            <w:shd w:val="clear" w:color="auto" w:fill="auto"/>
            <w:noWrap/>
            <w:vAlign w:val="center"/>
          </w:tcPr>
          <w:p w14:paraId="5A09CF9A">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14:paraId="78512D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6CF67B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559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88" w:type="dxa"/>
            <w:shd w:val="clear" w:color="auto" w:fill="auto"/>
            <w:vAlign w:val="center"/>
          </w:tcPr>
          <w:p w14:paraId="31DF7610">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w:t>
            </w:r>
          </w:p>
        </w:tc>
        <w:tc>
          <w:tcPr>
            <w:tcW w:w="1019" w:type="dxa"/>
            <w:vMerge w:val="continue"/>
            <w:vAlign w:val="center"/>
          </w:tcPr>
          <w:p w14:paraId="1C70F342">
            <w:pPr>
              <w:widowControl/>
              <w:jc w:val="left"/>
              <w:rPr>
                <w:rFonts w:ascii="宋体" w:hAnsi="宋体" w:eastAsia="宋体" w:cs="宋体"/>
                <w:color w:val="000000"/>
                <w:kern w:val="0"/>
                <w:sz w:val="22"/>
              </w:rPr>
            </w:pPr>
          </w:p>
        </w:tc>
        <w:tc>
          <w:tcPr>
            <w:tcW w:w="6210" w:type="dxa"/>
            <w:shd w:val="clear" w:color="auto" w:fill="auto"/>
            <w:noWrap/>
            <w:vAlign w:val="center"/>
          </w:tcPr>
          <w:p w14:paraId="44D462B1">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14:paraId="3E43CF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DD74E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6AC9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88" w:type="dxa"/>
            <w:shd w:val="clear" w:color="auto" w:fill="auto"/>
            <w:vAlign w:val="center"/>
          </w:tcPr>
          <w:p w14:paraId="403101F0">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w:t>
            </w:r>
          </w:p>
        </w:tc>
        <w:tc>
          <w:tcPr>
            <w:tcW w:w="1019" w:type="dxa"/>
            <w:vMerge w:val="continue"/>
            <w:vAlign w:val="center"/>
          </w:tcPr>
          <w:p w14:paraId="33E2C2D9">
            <w:pPr>
              <w:widowControl/>
              <w:jc w:val="left"/>
              <w:rPr>
                <w:rFonts w:ascii="宋体" w:hAnsi="宋体" w:eastAsia="宋体" w:cs="宋体"/>
                <w:color w:val="000000"/>
                <w:kern w:val="0"/>
                <w:sz w:val="22"/>
              </w:rPr>
            </w:pPr>
          </w:p>
        </w:tc>
        <w:tc>
          <w:tcPr>
            <w:tcW w:w="6210" w:type="dxa"/>
            <w:shd w:val="clear" w:color="auto" w:fill="auto"/>
            <w:vAlign w:val="center"/>
          </w:tcPr>
          <w:p w14:paraId="4A3369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14:paraId="346D82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7FC8B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86F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 w:type="dxa"/>
            <w:shd w:val="clear" w:color="auto" w:fill="auto"/>
            <w:vAlign w:val="center"/>
          </w:tcPr>
          <w:p w14:paraId="0BCED8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14:paraId="2FB6A6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14:paraId="097C12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日至比选公告发布之日）</w:t>
            </w:r>
            <w:permEnd w:id="0"/>
          </w:p>
        </w:tc>
        <w:tc>
          <w:tcPr>
            <w:tcW w:w="1440" w:type="dxa"/>
            <w:shd w:val="clear" w:color="auto" w:fill="auto"/>
            <w:noWrap/>
            <w:vAlign w:val="center"/>
          </w:tcPr>
          <w:p w14:paraId="21042C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663" w:type="dxa"/>
            <w:shd w:val="clear" w:color="auto" w:fill="auto"/>
            <w:vAlign w:val="center"/>
          </w:tcPr>
          <w:p w14:paraId="798EE3EC">
            <w:pPr>
              <w:widowControl/>
              <w:jc w:val="left"/>
              <w:rPr>
                <w:rFonts w:ascii="宋体" w:hAnsi="宋体" w:eastAsia="宋体" w:cs="宋体"/>
                <w:color w:val="000000"/>
                <w:kern w:val="0"/>
                <w:sz w:val="22"/>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14:paraId="231D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88" w:type="dxa"/>
            <w:shd w:val="clear" w:color="auto" w:fill="auto"/>
            <w:vAlign w:val="center"/>
          </w:tcPr>
          <w:p w14:paraId="4B7355DC">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14:paraId="13BC62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14:paraId="2910C1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项目实施团队配置</w:t>
            </w:r>
          </w:p>
        </w:tc>
        <w:tc>
          <w:tcPr>
            <w:tcW w:w="1440" w:type="dxa"/>
            <w:shd w:val="clear" w:color="auto" w:fill="auto"/>
            <w:noWrap/>
            <w:vAlign w:val="center"/>
          </w:tcPr>
          <w:p w14:paraId="622183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0EB647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14:paraId="79B2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0FCFEE90">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14:paraId="00F0467B">
            <w:pPr>
              <w:widowControl/>
              <w:jc w:val="left"/>
              <w:rPr>
                <w:rFonts w:ascii="宋体" w:hAnsi="宋体" w:eastAsia="宋体" w:cs="宋体"/>
                <w:color w:val="000000"/>
                <w:kern w:val="0"/>
                <w:sz w:val="22"/>
              </w:rPr>
            </w:pPr>
          </w:p>
        </w:tc>
        <w:tc>
          <w:tcPr>
            <w:tcW w:w="6210" w:type="dxa"/>
            <w:shd w:val="clear" w:color="auto" w:fill="auto"/>
            <w:vAlign w:val="center"/>
          </w:tcPr>
          <w:p w14:paraId="605DD8CF">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项目方案</w:t>
            </w:r>
            <w:r>
              <w:rPr>
                <w:rFonts w:hint="eastAsia" w:ascii="宋体" w:hAnsi="宋体" w:eastAsia="宋体" w:cs="宋体"/>
                <w:color w:val="000000"/>
                <w:kern w:val="0"/>
                <w:sz w:val="22"/>
                <w:lang w:val="en-US" w:eastAsia="zh-CN"/>
              </w:rPr>
              <w:t>及优势</w:t>
            </w:r>
          </w:p>
        </w:tc>
        <w:tc>
          <w:tcPr>
            <w:tcW w:w="1440" w:type="dxa"/>
            <w:shd w:val="clear" w:color="auto" w:fill="auto"/>
            <w:noWrap/>
            <w:vAlign w:val="center"/>
          </w:tcPr>
          <w:p w14:paraId="65C315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580E9A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屏幕的优势</w:t>
            </w:r>
            <w:r>
              <w:rPr>
                <w:rFonts w:hint="eastAsia" w:ascii="宋体" w:hAnsi="宋体" w:eastAsia="宋体" w:cs="宋体"/>
                <w:color w:val="000000"/>
                <w:kern w:val="0"/>
                <w:sz w:val="22"/>
              </w:rPr>
              <w:t>。优得20-30分;中得10-20分；差得0-10分。(不提供得0分)</w:t>
            </w:r>
          </w:p>
        </w:tc>
      </w:tr>
      <w:permEnd w:id="6"/>
      <w:permEnd w:id="7"/>
      <w:permEnd w:id="8"/>
      <w:tr w14:paraId="6FA3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1F2A4DA4">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14:paraId="02D5A0B3">
            <w:pPr>
              <w:widowControl/>
              <w:jc w:val="left"/>
              <w:rPr>
                <w:rFonts w:ascii="宋体" w:hAnsi="宋体" w:eastAsia="宋体" w:cs="宋体"/>
                <w:color w:val="000000"/>
                <w:kern w:val="0"/>
                <w:sz w:val="22"/>
              </w:rPr>
            </w:pPr>
          </w:p>
        </w:tc>
        <w:tc>
          <w:tcPr>
            <w:tcW w:w="6210" w:type="dxa"/>
            <w:shd w:val="clear" w:color="auto" w:fill="auto"/>
            <w:vAlign w:val="center"/>
          </w:tcPr>
          <w:p w14:paraId="126452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14:paraId="4A59A8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6ED405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14:paraId="0C5B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shd w:val="clear" w:color="auto" w:fill="auto"/>
            <w:vAlign w:val="center"/>
          </w:tcPr>
          <w:p w14:paraId="5D83C6F1">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14:paraId="323CC0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14:paraId="4CE7E2EF">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43㎡报价（含框架结构、安装调试、视频矩阵等）</w:t>
            </w:r>
          </w:p>
        </w:tc>
        <w:tc>
          <w:tcPr>
            <w:tcW w:w="1440" w:type="dxa"/>
            <w:shd w:val="clear" w:color="auto" w:fill="auto"/>
            <w:noWrap/>
            <w:vAlign w:val="center"/>
          </w:tcPr>
          <w:p w14:paraId="6F8736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780DF0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14:paraId="12CC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17" w:type="dxa"/>
            <w:gridSpan w:val="3"/>
            <w:shd w:val="clear" w:color="auto" w:fill="auto"/>
            <w:vAlign w:val="center"/>
          </w:tcPr>
          <w:p w14:paraId="0E8DC53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14:paraId="40356E7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663" w:type="dxa"/>
            <w:shd w:val="clear" w:color="auto" w:fill="auto"/>
            <w:vAlign w:val="center"/>
          </w:tcPr>
          <w:p w14:paraId="3981EF6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646057B2">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p w14:paraId="6D1B5E75"/>
    <w:sectPr>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7419F"/>
    <w:rsid w:val="1037419F"/>
    <w:rsid w:val="3DC4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2025-01-20T03:57:00Z</dcterms:created>
  <dc:creator>passer by</dc:creator>
  <cp:lastModifiedBy>passer by</cp:lastModifiedBy>
  <dcterms:modified xsi:type="dcterms:W3CDTF">2025-01-20T03:59:36Z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DC934E60464246BB94CA649A3B74A553_11</vt:lpwstr>
  </property>
  <property fmtid="{D5CDD505-2E9C-101B-9397-08002B2CF9AE}" pid="4" name="KSOTemplateDocerSaveRecord">
    <vt:lpwstr>eyJoZGlkIjoiMDcyY2ZkZWUzOTRhMjdhMGQwMjBjYjNhZDVkOGIxM2MiLCJ1c2VySWQiOiIyODE4NjM2MDcifQ==</vt:lpwstr>
  </property>
</Properties>
</file>