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1EA">
      <w:pPr>
        <w:pStyle w:val="4"/>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0B677D8C">
      <w:pPr>
        <w:jc w:val="center"/>
        <w:rPr>
          <w:b/>
          <w:sz w:val="28"/>
        </w:rPr>
      </w:pPr>
      <w:r>
        <w:rPr>
          <w:rFonts w:hint="eastAsia"/>
          <w:b/>
          <w:sz w:val="28"/>
        </w:rPr>
        <w:t>比选评分表</w:t>
      </w:r>
    </w:p>
    <w:p w14:paraId="1E50BCFE">
      <w:pPr>
        <w:ind w:firstLine="420" w:firstLineChars="200"/>
      </w:pPr>
      <w:r>
        <w:rPr>
          <w:rFonts w:hint="eastAsia"/>
        </w:rPr>
        <w:t>项目名称：</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374C7F0F">
        <w:trPr>
          <w:trHeight w:val="405" w:hRule="atLeast"/>
          <w:tblHeader/>
          <w:jc w:val="center"/>
        </w:trPr>
        <w:tc>
          <w:tcPr>
            <w:tcW w:w="988" w:type="dxa"/>
            <w:noWrap w:val="0"/>
            <w:vAlign w:val="center"/>
          </w:tcPr>
          <w:p w14:paraId="4468E6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noWrap w:val="0"/>
            <w:vAlign w:val="center"/>
          </w:tcPr>
          <w:p w14:paraId="21A75F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noWrap w:val="0"/>
            <w:vAlign w:val="center"/>
          </w:tcPr>
          <w:p w14:paraId="6755F9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59EB15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2A23BD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04BE109C">
        <w:trPr>
          <w:trHeight w:val="854" w:hRule="atLeast"/>
          <w:jc w:val="center"/>
        </w:trPr>
        <w:tc>
          <w:tcPr>
            <w:tcW w:w="988" w:type="dxa"/>
            <w:noWrap w:val="0"/>
            <w:vAlign w:val="center"/>
          </w:tcPr>
          <w:p w14:paraId="1F2711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noWrap w:val="0"/>
            <w:vAlign w:val="center"/>
          </w:tcPr>
          <w:p w14:paraId="4A8276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noWrap/>
            <w:vAlign w:val="center"/>
          </w:tcPr>
          <w:p w14:paraId="63CE187A">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3F0CF3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noWrap w:val="0"/>
            <w:vAlign w:val="center"/>
          </w:tcPr>
          <w:p w14:paraId="4C0587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CFAD5B5">
        <w:trPr>
          <w:trHeight w:val="982" w:hRule="atLeast"/>
          <w:jc w:val="center"/>
        </w:trPr>
        <w:tc>
          <w:tcPr>
            <w:tcW w:w="988" w:type="dxa"/>
            <w:noWrap w:val="0"/>
            <w:vAlign w:val="center"/>
          </w:tcPr>
          <w:p w14:paraId="7C605863">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019" w:type="dxa"/>
            <w:vMerge w:val="continue"/>
            <w:noWrap w:val="0"/>
            <w:vAlign w:val="center"/>
          </w:tcPr>
          <w:p w14:paraId="185B43F4">
            <w:pPr>
              <w:widowControl/>
              <w:jc w:val="left"/>
              <w:rPr>
                <w:rFonts w:ascii="宋体" w:hAnsi="宋体" w:eastAsia="宋体" w:cs="宋体"/>
                <w:color w:val="000000"/>
                <w:kern w:val="0"/>
                <w:sz w:val="22"/>
              </w:rPr>
            </w:pPr>
          </w:p>
        </w:tc>
        <w:tc>
          <w:tcPr>
            <w:tcW w:w="6210" w:type="dxa"/>
            <w:noWrap/>
            <w:vAlign w:val="center"/>
          </w:tcPr>
          <w:p w14:paraId="6EB29320">
            <w:pPr>
              <w:widowControl/>
              <w:rPr>
                <w:rFonts w:hint="eastAsia" w:ascii="宋体" w:hAnsi="宋体" w:eastAsia="宋体" w:cs="宋体"/>
                <w:color w:val="333333"/>
                <w:kern w:val="0"/>
                <w:sz w:val="22"/>
              </w:rPr>
            </w:pPr>
            <w:r>
              <w:rPr>
                <w:rFonts w:hint="eastAsia" w:ascii="宋体" w:hAnsi="宋体" w:eastAsia="宋体" w:cs="宋体"/>
                <w:color w:val="000000"/>
                <w:kern w:val="0"/>
                <w:sz w:val="21"/>
                <w:szCs w:val="21"/>
              </w:rPr>
              <w:t>施工企业注册资本：4000万元（含）以上。市政公用工程施工总承包贰级（含）以上资质、建筑工程施工总承包贰级（含）以上、钢结构工程专业承包贰级（含）以上、建筑机电安装工程专业承包贰级（含）以上资质，并持有有效《安全生产许可证》</w:t>
            </w:r>
          </w:p>
        </w:tc>
        <w:tc>
          <w:tcPr>
            <w:tcW w:w="1440" w:type="dxa"/>
            <w:noWrap/>
            <w:vAlign w:val="center"/>
          </w:tcPr>
          <w:p w14:paraId="7435C135">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w:t>
            </w:r>
          </w:p>
        </w:tc>
        <w:tc>
          <w:tcPr>
            <w:tcW w:w="3663" w:type="dxa"/>
            <w:noWrap w:val="0"/>
            <w:vAlign w:val="center"/>
          </w:tcPr>
          <w:p w14:paraId="280F3104">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未提供或不符合要求取消参加比选的资格</w:t>
            </w:r>
          </w:p>
        </w:tc>
      </w:tr>
      <w:tr w14:paraId="71138ECA">
        <w:trPr>
          <w:trHeight w:val="982" w:hRule="atLeast"/>
          <w:jc w:val="center"/>
        </w:trPr>
        <w:tc>
          <w:tcPr>
            <w:tcW w:w="988" w:type="dxa"/>
            <w:noWrap w:val="0"/>
            <w:vAlign w:val="center"/>
          </w:tcPr>
          <w:p w14:paraId="06939E09">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w:t>
            </w:r>
          </w:p>
        </w:tc>
        <w:tc>
          <w:tcPr>
            <w:tcW w:w="1019" w:type="dxa"/>
            <w:vMerge w:val="continue"/>
            <w:noWrap w:val="0"/>
            <w:vAlign w:val="center"/>
          </w:tcPr>
          <w:p w14:paraId="602099F3">
            <w:pPr>
              <w:widowControl/>
              <w:jc w:val="left"/>
              <w:rPr>
                <w:rFonts w:ascii="宋体" w:hAnsi="宋体" w:eastAsia="宋体" w:cs="宋体"/>
                <w:color w:val="000000"/>
                <w:kern w:val="0"/>
                <w:sz w:val="22"/>
              </w:rPr>
            </w:pPr>
          </w:p>
        </w:tc>
        <w:tc>
          <w:tcPr>
            <w:tcW w:w="6210" w:type="dxa"/>
            <w:noWrap/>
            <w:vAlign w:val="center"/>
          </w:tcPr>
          <w:p w14:paraId="06407E5A">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71F7F4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noWrap w:val="0"/>
            <w:vAlign w:val="center"/>
          </w:tcPr>
          <w:p w14:paraId="12138A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1423F27">
        <w:trPr>
          <w:trHeight w:val="1015" w:hRule="atLeast"/>
          <w:jc w:val="center"/>
        </w:trPr>
        <w:tc>
          <w:tcPr>
            <w:tcW w:w="988" w:type="dxa"/>
            <w:noWrap w:val="0"/>
            <w:vAlign w:val="center"/>
          </w:tcPr>
          <w:p w14:paraId="6232420A">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4</w:t>
            </w:r>
          </w:p>
        </w:tc>
        <w:tc>
          <w:tcPr>
            <w:tcW w:w="1019" w:type="dxa"/>
            <w:vMerge w:val="continue"/>
            <w:noWrap w:val="0"/>
            <w:vAlign w:val="center"/>
          </w:tcPr>
          <w:p w14:paraId="6D84C1E3">
            <w:pPr>
              <w:widowControl/>
              <w:jc w:val="left"/>
              <w:rPr>
                <w:rFonts w:ascii="宋体" w:hAnsi="宋体" w:eastAsia="宋体" w:cs="宋体"/>
                <w:color w:val="000000"/>
                <w:kern w:val="0"/>
                <w:sz w:val="22"/>
              </w:rPr>
            </w:pPr>
          </w:p>
        </w:tc>
        <w:tc>
          <w:tcPr>
            <w:tcW w:w="6210" w:type="dxa"/>
            <w:noWrap/>
            <w:vAlign w:val="center"/>
          </w:tcPr>
          <w:p w14:paraId="4FEAE833">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kern w:val="0"/>
                <w:sz w:val="22"/>
              </w:rPr>
              <w:t>（或提供以下三项：财务报表、银行出具的资信证明材料复印件、近半年任意一个月的依法缴纳税收的证明（纳税凭证）复印件）</w:t>
            </w:r>
          </w:p>
        </w:tc>
        <w:tc>
          <w:tcPr>
            <w:tcW w:w="1440" w:type="dxa"/>
            <w:noWrap/>
            <w:vAlign w:val="center"/>
          </w:tcPr>
          <w:p w14:paraId="551647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noWrap w:val="0"/>
            <w:vAlign w:val="center"/>
          </w:tcPr>
          <w:p w14:paraId="6E7C4D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81A2DC7">
        <w:trPr>
          <w:trHeight w:val="985" w:hRule="atLeast"/>
          <w:jc w:val="center"/>
        </w:trPr>
        <w:tc>
          <w:tcPr>
            <w:tcW w:w="988" w:type="dxa"/>
            <w:noWrap w:val="0"/>
            <w:vAlign w:val="center"/>
          </w:tcPr>
          <w:p w14:paraId="2BEE2CBF">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5</w:t>
            </w:r>
          </w:p>
        </w:tc>
        <w:tc>
          <w:tcPr>
            <w:tcW w:w="1019" w:type="dxa"/>
            <w:vMerge w:val="continue"/>
            <w:noWrap w:val="0"/>
            <w:vAlign w:val="center"/>
          </w:tcPr>
          <w:p w14:paraId="08F0A1C3">
            <w:pPr>
              <w:widowControl/>
              <w:jc w:val="left"/>
              <w:rPr>
                <w:rFonts w:ascii="宋体" w:hAnsi="宋体" w:eastAsia="宋体" w:cs="宋体"/>
                <w:color w:val="000000"/>
                <w:kern w:val="0"/>
                <w:sz w:val="22"/>
              </w:rPr>
            </w:pPr>
          </w:p>
        </w:tc>
        <w:tc>
          <w:tcPr>
            <w:tcW w:w="6210" w:type="dxa"/>
            <w:noWrap/>
            <w:vAlign w:val="center"/>
          </w:tcPr>
          <w:p w14:paraId="562FF04F">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031125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noWrap w:val="0"/>
            <w:vAlign w:val="center"/>
          </w:tcPr>
          <w:p w14:paraId="1DF09C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B466E90">
        <w:trPr>
          <w:trHeight w:val="1028" w:hRule="atLeast"/>
          <w:jc w:val="center"/>
        </w:trPr>
        <w:tc>
          <w:tcPr>
            <w:tcW w:w="988" w:type="dxa"/>
            <w:noWrap w:val="0"/>
            <w:vAlign w:val="center"/>
          </w:tcPr>
          <w:p w14:paraId="5E33552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1019" w:type="dxa"/>
            <w:vMerge w:val="continue"/>
            <w:noWrap w:val="0"/>
            <w:vAlign w:val="center"/>
          </w:tcPr>
          <w:p w14:paraId="2BD69716">
            <w:pPr>
              <w:widowControl/>
              <w:jc w:val="left"/>
              <w:rPr>
                <w:rFonts w:ascii="宋体" w:hAnsi="宋体" w:eastAsia="宋体" w:cs="宋体"/>
                <w:color w:val="000000"/>
                <w:kern w:val="0"/>
                <w:sz w:val="22"/>
              </w:rPr>
            </w:pPr>
          </w:p>
        </w:tc>
        <w:tc>
          <w:tcPr>
            <w:tcW w:w="6210" w:type="dxa"/>
            <w:noWrap w:val="0"/>
            <w:vAlign w:val="center"/>
          </w:tcPr>
          <w:p w14:paraId="215744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7BEF95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noWrap w:val="0"/>
            <w:vAlign w:val="center"/>
          </w:tcPr>
          <w:p w14:paraId="33D545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609793F">
        <w:trPr>
          <w:trHeight w:val="1425" w:hRule="atLeast"/>
          <w:jc w:val="center"/>
        </w:trPr>
        <w:tc>
          <w:tcPr>
            <w:tcW w:w="988" w:type="dxa"/>
            <w:noWrap w:val="0"/>
            <w:vAlign w:val="center"/>
          </w:tcPr>
          <w:p w14:paraId="02FE24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noWrap w:val="0"/>
            <w:vAlign w:val="center"/>
          </w:tcPr>
          <w:p w14:paraId="2D2154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noWrap w:val="0"/>
            <w:vAlign w:val="center"/>
          </w:tcPr>
          <w:p w14:paraId="06FF73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cs="宋体"/>
                <w:color w:val="000000"/>
                <w:kern w:val="0"/>
                <w:sz w:val="22"/>
                <w:lang w:val="en-US" w:eastAsia="zh-CN"/>
              </w:rPr>
              <w:t>2</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noWrap/>
            <w:vAlign w:val="center"/>
          </w:tcPr>
          <w:p w14:paraId="3FF4AE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noWrap w:val="0"/>
            <w:vAlign w:val="center"/>
          </w:tcPr>
          <w:p w14:paraId="2B08BDEF">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78290647">
        <w:trPr>
          <w:trHeight w:val="1140" w:hRule="atLeast"/>
          <w:jc w:val="center"/>
        </w:trPr>
        <w:tc>
          <w:tcPr>
            <w:tcW w:w="988" w:type="dxa"/>
            <w:noWrap w:val="0"/>
            <w:vAlign w:val="center"/>
          </w:tcPr>
          <w:p w14:paraId="4A4FCF3E">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noWrap w:val="0"/>
            <w:vAlign w:val="center"/>
          </w:tcPr>
          <w:p w14:paraId="681DD5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noWrap w:val="0"/>
            <w:vAlign w:val="center"/>
          </w:tcPr>
          <w:p w14:paraId="34BD36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noWrap/>
            <w:vAlign w:val="center"/>
          </w:tcPr>
          <w:p w14:paraId="4FED71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noWrap w:val="0"/>
            <w:vAlign w:val="center"/>
          </w:tcPr>
          <w:p w14:paraId="11FF28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73A7573A">
        <w:trPr>
          <w:trHeight w:val="855" w:hRule="atLeast"/>
          <w:jc w:val="center"/>
        </w:trPr>
        <w:tc>
          <w:tcPr>
            <w:tcW w:w="988" w:type="dxa"/>
            <w:noWrap w:val="0"/>
            <w:vAlign w:val="center"/>
          </w:tcPr>
          <w:p w14:paraId="55FDF940">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noWrap w:val="0"/>
            <w:vAlign w:val="center"/>
          </w:tcPr>
          <w:p w14:paraId="4F0B275E">
            <w:pPr>
              <w:widowControl/>
              <w:jc w:val="left"/>
              <w:rPr>
                <w:rFonts w:ascii="宋体" w:hAnsi="宋体" w:eastAsia="宋体" w:cs="宋体"/>
                <w:color w:val="000000"/>
                <w:kern w:val="0"/>
                <w:sz w:val="22"/>
              </w:rPr>
            </w:pPr>
          </w:p>
        </w:tc>
        <w:tc>
          <w:tcPr>
            <w:tcW w:w="6210" w:type="dxa"/>
            <w:noWrap w:val="0"/>
            <w:vAlign w:val="center"/>
          </w:tcPr>
          <w:p w14:paraId="55211B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noWrap/>
            <w:vAlign w:val="center"/>
          </w:tcPr>
          <w:p w14:paraId="0E1A89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noWrap w:val="0"/>
            <w:vAlign w:val="center"/>
          </w:tcPr>
          <w:p w14:paraId="04337F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47739FEB">
        <w:trPr>
          <w:trHeight w:val="855" w:hRule="atLeast"/>
          <w:jc w:val="center"/>
        </w:trPr>
        <w:tc>
          <w:tcPr>
            <w:tcW w:w="988" w:type="dxa"/>
            <w:noWrap w:val="0"/>
            <w:vAlign w:val="center"/>
          </w:tcPr>
          <w:p w14:paraId="7592A0AE">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noWrap w:val="0"/>
            <w:vAlign w:val="center"/>
          </w:tcPr>
          <w:p w14:paraId="03DC2971">
            <w:pPr>
              <w:widowControl/>
              <w:jc w:val="left"/>
              <w:rPr>
                <w:rFonts w:ascii="宋体" w:hAnsi="宋体" w:eastAsia="宋体" w:cs="宋体"/>
                <w:color w:val="000000"/>
                <w:kern w:val="0"/>
                <w:sz w:val="22"/>
              </w:rPr>
            </w:pPr>
          </w:p>
        </w:tc>
        <w:tc>
          <w:tcPr>
            <w:tcW w:w="6210" w:type="dxa"/>
            <w:noWrap w:val="0"/>
            <w:vAlign w:val="center"/>
          </w:tcPr>
          <w:p w14:paraId="1EA1A2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noWrap/>
            <w:vAlign w:val="center"/>
          </w:tcPr>
          <w:p w14:paraId="7EADF6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noWrap w:val="0"/>
            <w:vAlign w:val="center"/>
          </w:tcPr>
          <w:p w14:paraId="2736A2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0739AD4C">
        <w:trPr>
          <w:trHeight w:val="855" w:hRule="atLeast"/>
          <w:jc w:val="center"/>
        </w:trPr>
        <w:tc>
          <w:tcPr>
            <w:tcW w:w="988" w:type="dxa"/>
            <w:noWrap w:val="0"/>
            <w:vAlign w:val="center"/>
          </w:tcPr>
          <w:p w14:paraId="044F05E9">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noWrap w:val="0"/>
            <w:vAlign w:val="center"/>
          </w:tcPr>
          <w:p w14:paraId="7B5171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noWrap w:val="0"/>
            <w:vAlign w:val="center"/>
          </w:tcPr>
          <w:p w14:paraId="70DB80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69F0CD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noWrap w:val="0"/>
            <w:vAlign w:val="center"/>
          </w:tcPr>
          <w:p w14:paraId="4EF03C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A17539F">
        <w:trPr>
          <w:trHeight w:val="405" w:hRule="atLeast"/>
          <w:jc w:val="center"/>
        </w:trPr>
        <w:tc>
          <w:tcPr>
            <w:tcW w:w="8217" w:type="dxa"/>
            <w:gridSpan w:val="3"/>
            <w:noWrap w:val="0"/>
            <w:vAlign w:val="center"/>
          </w:tcPr>
          <w:p w14:paraId="41E7C01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noWrap w:val="0"/>
            <w:vAlign w:val="center"/>
          </w:tcPr>
          <w:p w14:paraId="7ADCC3B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noWrap w:val="0"/>
            <w:vAlign w:val="center"/>
          </w:tcPr>
          <w:p w14:paraId="271AE50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10ABAE25">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51000F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612E7"/>
    <w:rsid w:val="76F612E7"/>
    <w:rsid w:val="7BEF6ED8"/>
    <w:rsid w:val="C4A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2025-12-02T16:44:00Z</dcterms:created>
  <dc:creator>丰子</dc:creator>
  <cp:lastModifiedBy>丰子</cp:lastModifiedBy>
  <dcterms:modified xsi:type="dcterms:W3CDTF">2025-12-02T16:46:08Z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9A78D612A950B71650A72E699F0314DF_43</vt:lpwstr>
  </property>
</Properties>
</file>