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CDBA">
      <w:pPr>
        <w:pStyle w:val="4"/>
        <w:rPr>
          <w:rFonts w:ascii="Times New Roman" w:hAnsi="Times New Roman" w:eastAsia="宋体"/>
          <w:color w:val="auto"/>
          <w:sz w:val="24"/>
        </w:rPr>
      </w:pPr>
      <w:r>
        <w:rPr>
          <w:rFonts w:hint="eastAsia" w:ascii="Times New Roman" w:hAnsi="Times New Roman" w:eastAsia="宋体"/>
          <w:color w:val="auto"/>
          <w:sz w:val="24"/>
        </w:rPr>
        <w:t>附件3：比选评分表</w:t>
      </w:r>
    </w:p>
    <w:p w14:paraId="7C03E479">
      <w:pPr>
        <w:jc w:val="center"/>
        <w:rPr>
          <w:b/>
          <w:color w:val="auto"/>
          <w:sz w:val="28"/>
        </w:rPr>
      </w:pPr>
      <w:r>
        <w:rPr>
          <w:rFonts w:hint="eastAsia"/>
          <w:b/>
          <w:color w:val="auto"/>
          <w:sz w:val="28"/>
        </w:rPr>
        <w:t>比选评分表</w:t>
      </w:r>
    </w:p>
    <w:p w14:paraId="5993D2DD">
      <w:pPr>
        <w:ind w:firstLine="420" w:firstLineChars="200"/>
        <w:rPr>
          <w:color w:val="auto"/>
        </w:rPr>
      </w:pPr>
      <w:r>
        <w:rPr>
          <w:rFonts w:hint="eastAsia"/>
          <w:color w:val="auto"/>
        </w:rPr>
        <w:t>项目名称：</w:t>
      </w:r>
      <w:r>
        <w:rPr>
          <w:rFonts w:hint="eastAsia" w:ascii="宋体" w:hAnsi="宋体" w:eastAsia="宋体" w:cs="宋体"/>
          <w:b/>
          <w:color w:val="auto"/>
          <w:kern w:val="0"/>
          <w:sz w:val="21"/>
          <w:szCs w:val="21"/>
        </w:rPr>
        <w:t>马坊村702号院-</w:t>
      </w:r>
      <w:r>
        <w:rPr>
          <w:rFonts w:hint="eastAsia" w:ascii="宋体" w:hAnsi="宋体" w:eastAsia="宋体" w:cs="宋体"/>
          <w:b/>
          <w:color w:val="auto"/>
          <w:kern w:val="0"/>
          <w:sz w:val="21"/>
          <w:szCs w:val="21"/>
          <w:lang w:val="en-US" w:eastAsia="zh-CN"/>
        </w:rPr>
        <w:t>7号楼</w:t>
      </w:r>
      <w:r>
        <w:rPr>
          <w:rFonts w:hint="eastAsia" w:ascii="宋体" w:hAnsi="宋体" w:eastAsia="宋体" w:cs="宋体"/>
          <w:b/>
          <w:color w:val="auto"/>
          <w:kern w:val="0"/>
          <w:sz w:val="21"/>
          <w:szCs w:val="21"/>
        </w:rPr>
        <w:t>（丽泽</w:t>
      </w: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rPr>
        <w:t>原</w:t>
      </w:r>
      <w:r>
        <w:rPr>
          <w:rFonts w:hint="eastAsia" w:ascii="宋体" w:hAnsi="宋体" w:eastAsia="宋体" w:cs="宋体"/>
          <w:b/>
          <w:color w:val="auto"/>
          <w:kern w:val="0"/>
          <w:sz w:val="21"/>
          <w:szCs w:val="21"/>
          <w:lang w:val="en-US" w:eastAsia="zh-CN"/>
        </w:rPr>
        <w:t>4</w:t>
      </w:r>
      <w:r>
        <w:rPr>
          <w:rFonts w:hint="eastAsia" w:ascii="宋体" w:hAnsi="宋体" w:eastAsia="宋体" w:cs="宋体"/>
          <w:b/>
          <w:color w:val="auto"/>
          <w:kern w:val="0"/>
          <w:sz w:val="21"/>
          <w:szCs w:val="21"/>
        </w:rPr>
        <w:t>号楼）装修恢复提升目</w:t>
      </w:r>
    </w:p>
    <w:tbl>
      <w:tblPr>
        <w:tblStyle w:val="6"/>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37DDEB7D">
        <w:trPr>
          <w:trHeight w:val="405" w:hRule="atLeast"/>
          <w:tblHeader/>
          <w:jc w:val="center"/>
        </w:trPr>
        <w:tc>
          <w:tcPr>
            <w:tcW w:w="988" w:type="dxa"/>
            <w:shd w:val="clear" w:color="auto" w:fill="auto"/>
            <w:vAlign w:val="center"/>
          </w:tcPr>
          <w:p w14:paraId="5A84C0CF">
            <w:pPr>
              <w:widowControl/>
              <w:jc w:val="center"/>
              <w:rPr>
                <w:rFonts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032A741A">
            <w:pPr>
              <w:widowControl/>
              <w:jc w:val="center"/>
              <w:rPr>
                <w:rFonts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08770A6C">
            <w:pPr>
              <w:widowControl/>
              <w:jc w:val="center"/>
              <w:rPr>
                <w:rFonts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719F5674">
            <w:pPr>
              <w:widowControl/>
              <w:jc w:val="center"/>
              <w:rPr>
                <w:rFonts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74568132">
            <w:pPr>
              <w:widowControl/>
              <w:jc w:val="center"/>
              <w:rPr>
                <w:rFonts w:ascii="宋体" w:hAnsi="宋体" w:eastAsia="宋体" w:cs="宋体"/>
                <w:color w:val="auto"/>
                <w:kern w:val="0"/>
                <w:sz w:val="22"/>
              </w:rPr>
            </w:pPr>
            <w:r>
              <w:rPr>
                <w:rFonts w:hint="eastAsia" w:ascii="宋体" w:hAnsi="宋体" w:eastAsia="宋体" w:cs="宋体"/>
                <w:color w:val="auto"/>
                <w:kern w:val="0"/>
                <w:sz w:val="22"/>
              </w:rPr>
              <w:t>打分原则</w:t>
            </w:r>
          </w:p>
        </w:tc>
      </w:tr>
      <w:tr w14:paraId="0DCF2474">
        <w:trPr>
          <w:trHeight w:val="264" w:hRule="atLeast"/>
          <w:jc w:val="center"/>
        </w:trPr>
        <w:tc>
          <w:tcPr>
            <w:tcW w:w="988" w:type="dxa"/>
            <w:shd w:val="clear" w:color="auto" w:fill="auto"/>
            <w:vAlign w:val="center"/>
          </w:tcPr>
          <w:p w14:paraId="34AB0796">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0C13ECAC">
            <w:pPr>
              <w:widowControl/>
              <w:jc w:val="center"/>
              <w:rPr>
                <w:rFonts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4F45E7AA">
            <w:pPr>
              <w:widowControl/>
              <w:rPr>
                <w:rFonts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7DE522D">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A258660">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6B35C325">
        <w:trPr>
          <w:trHeight w:val="570" w:hRule="atLeast"/>
          <w:jc w:val="center"/>
        </w:trPr>
        <w:tc>
          <w:tcPr>
            <w:tcW w:w="988" w:type="dxa"/>
            <w:shd w:val="clear" w:color="auto" w:fill="auto"/>
            <w:vAlign w:val="center"/>
          </w:tcPr>
          <w:p w14:paraId="770F7A9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41A6AFD0">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439CDE1C">
            <w:pPr>
              <w:widowControl/>
              <w:rPr>
                <w:rFonts w:hint="eastAsia" w:ascii="宋体" w:hAnsi="宋体" w:eastAsia="宋体" w:cs="宋体"/>
                <w:color w:val="auto"/>
                <w:kern w:val="0"/>
                <w:sz w:val="22"/>
              </w:rPr>
            </w:pPr>
            <w:r>
              <w:rPr>
                <w:rFonts w:hint="eastAsia" w:ascii="宋体" w:hAnsi="宋体" w:eastAsia="宋体" w:cs="宋体"/>
                <w:color w:val="auto"/>
                <w:kern w:val="0"/>
                <w:sz w:val="22"/>
              </w:rPr>
              <w:t>施工企业注册资本：1000万元（含）以上，具备建筑工程施工总承包贰级（含）以上或建筑装修装饰工程专业承包壹级（含）以上资质，并持有有效《安全生产许可证》；提供装修类相关业绩（合同复印件）。</w:t>
            </w:r>
          </w:p>
        </w:tc>
        <w:tc>
          <w:tcPr>
            <w:tcW w:w="1440" w:type="dxa"/>
            <w:shd w:val="clear" w:color="auto" w:fill="auto"/>
            <w:noWrap/>
            <w:vAlign w:val="center"/>
          </w:tcPr>
          <w:p w14:paraId="5385ECCF">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01B2192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19D02EBF">
        <w:trPr>
          <w:trHeight w:val="287" w:hRule="atLeast"/>
          <w:jc w:val="center"/>
        </w:trPr>
        <w:tc>
          <w:tcPr>
            <w:tcW w:w="988" w:type="dxa"/>
            <w:shd w:val="clear" w:color="auto" w:fill="auto"/>
            <w:vAlign w:val="center"/>
          </w:tcPr>
          <w:p w14:paraId="59971C50">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632DFAC4">
            <w:pPr>
              <w:widowControl/>
              <w:jc w:val="left"/>
              <w:rPr>
                <w:rFonts w:ascii="宋体" w:hAnsi="宋体" w:eastAsia="宋体" w:cs="宋体"/>
                <w:color w:val="auto"/>
                <w:kern w:val="0"/>
                <w:sz w:val="22"/>
              </w:rPr>
            </w:pPr>
          </w:p>
        </w:tc>
        <w:tc>
          <w:tcPr>
            <w:tcW w:w="6210" w:type="dxa"/>
            <w:shd w:val="clear" w:color="auto" w:fill="auto"/>
            <w:noWrap/>
            <w:vAlign w:val="center"/>
          </w:tcPr>
          <w:p w14:paraId="7BA3B23F">
            <w:pPr>
              <w:widowControl/>
              <w:rPr>
                <w:rFonts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3B44530E">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25A2C28B">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06CF9063">
        <w:trPr>
          <w:trHeight w:val="710" w:hRule="atLeast"/>
          <w:jc w:val="center"/>
        </w:trPr>
        <w:tc>
          <w:tcPr>
            <w:tcW w:w="988" w:type="dxa"/>
            <w:shd w:val="clear" w:color="auto" w:fill="auto"/>
            <w:vAlign w:val="center"/>
          </w:tcPr>
          <w:p w14:paraId="6A8079BA">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7A7518C6">
            <w:pPr>
              <w:widowControl/>
              <w:jc w:val="left"/>
              <w:rPr>
                <w:rFonts w:ascii="宋体" w:hAnsi="宋体" w:eastAsia="宋体" w:cs="宋体"/>
                <w:color w:val="auto"/>
                <w:kern w:val="0"/>
                <w:sz w:val="22"/>
              </w:rPr>
            </w:pPr>
          </w:p>
        </w:tc>
        <w:tc>
          <w:tcPr>
            <w:tcW w:w="6210" w:type="dxa"/>
            <w:shd w:val="clear" w:color="auto" w:fill="auto"/>
            <w:noWrap/>
            <w:vAlign w:val="center"/>
          </w:tcPr>
          <w:p w14:paraId="31D2EF7A">
            <w:pPr>
              <w:widowControl/>
              <w:rPr>
                <w:rFonts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6C14AC3F">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87409DC">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4882533A">
        <w:trPr>
          <w:trHeight w:val="1215" w:hRule="atLeast"/>
          <w:jc w:val="center"/>
        </w:trPr>
        <w:tc>
          <w:tcPr>
            <w:tcW w:w="988" w:type="dxa"/>
            <w:shd w:val="clear" w:color="auto" w:fill="auto"/>
            <w:vAlign w:val="center"/>
          </w:tcPr>
          <w:p w14:paraId="3487E387">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6A70D7B1">
            <w:pPr>
              <w:widowControl/>
              <w:jc w:val="left"/>
              <w:rPr>
                <w:rFonts w:ascii="宋体" w:hAnsi="宋体" w:eastAsia="宋体" w:cs="宋体"/>
                <w:color w:val="auto"/>
                <w:kern w:val="0"/>
                <w:sz w:val="22"/>
              </w:rPr>
            </w:pPr>
          </w:p>
        </w:tc>
        <w:tc>
          <w:tcPr>
            <w:tcW w:w="6210" w:type="dxa"/>
            <w:shd w:val="clear" w:color="auto" w:fill="auto"/>
            <w:noWrap/>
            <w:vAlign w:val="center"/>
          </w:tcPr>
          <w:p w14:paraId="11A7E2DE">
            <w:pPr>
              <w:widowControl/>
              <w:rPr>
                <w:rFonts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1B85E578">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00F615FE">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0B5651">
        <w:trPr>
          <w:trHeight w:val="1650" w:hRule="atLeast"/>
          <w:jc w:val="center"/>
        </w:trPr>
        <w:tc>
          <w:tcPr>
            <w:tcW w:w="988" w:type="dxa"/>
            <w:shd w:val="clear" w:color="auto" w:fill="auto"/>
            <w:vAlign w:val="center"/>
          </w:tcPr>
          <w:p w14:paraId="0C391791">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3BB18DE0">
            <w:pPr>
              <w:widowControl/>
              <w:jc w:val="left"/>
              <w:rPr>
                <w:rFonts w:ascii="宋体" w:hAnsi="宋体" w:eastAsia="宋体" w:cs="宋体"/>
                <w:color w:val="auto"/>
                <w:kern w:val="0"/>
                <w:sz w:val="22"/>
              </w:rPr>
            </w:pPr>
          </w:p>
        </w:tc>
        <w:tc>
          <w:tcPr>
            <w:tcW w:w="6210" w:type="dxa"/>
            <w:shd w:val="clear" w:color="auto" w:fill="auto"/>
            <w:vAlign w:val="center"/>
          </w:tcPr>
          <w:p w14:paraId="4D594B88">
            <w:pPr>
              <w:widowControl/>
              <w:jc w:val="left"/>
              <w:rPr>
                <w:rFonts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4DD93302">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49BD9E21">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258E077">
        <w:trPr>
          <w:trHeight w:val="1425" w:hRule="atLeast"/>
          <w:jc w:val="center"/>
        </w:trPr>
        <w:tc>
          <w:tcPr>
            <w:tcW w:w="988" w:type="dxa"/>
            <w:shd w:val="clear" w:color="auto" w:fill="auto"/>
            <w:vAlign w:val="center"/>
          </w:tcPr>
          <w:p w14:paraId="055254E3">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BC3EDFE">
            <w:pPr>
              <w:widowControl/>
              <w:jc w:val="center"/>
              <w:rPr>
                <w:rFonts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3D9C397F">
            <w:pPr>
              <w:widowControl/>
              <w:jc w:val="left"/>
              <w:rPr>
                <w:rFonts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w:t>
            </w:r>
            <w:r>
              <w:rPr>
                <w:rFonts w:ascii="宋体" w:hAnsi="宋体" w:eastAsia="宋体" w:cs="宋体"/>
                <w:color w:val="auto"/>
                <w:kern w:val="0"/>
                <w:sz w:val="22"/>
              </w:rPr>
              <w:t>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w:t>
            </w:r>
            <w:r>
              <w:rPr>
                <w:rFonts w:ascii="宋体" w:hAnsi="宋体" w:eastAsia="宋体" w:cs="宋体"/>
                <w:color w:val="auto"/>
                <w:kern w:val="0"/>
                <w:sz w:val="22"/>
              </w:rPr>
              <w:t>1</w:t>
            </w:r>
            <w:r>
              <w:rPr>
                <w:rFonts w:hint="eastAsia" w:ascii="宋体" w:hAnsi="宋体" w:eastAsia="宋体" w:cs="宋体"/>
                <w:color w:val="auto"/>
                <w:kern w:val="0"/>
                <w:sz w:val="22"/>
              </w:rPr>
              <w:t>月</w:t>
            </w:r>
            <w:r>
              <w:rPr>
                <w:rFonts w:ascii="宋体" w:hAnsi="宋体" w:eastAsia="宋体" w:cs="宋体"/>
                <w:color w:val="auto"/>
                <w:kern w:val="0"/>
                <w:sz w:val="22"/>
              </w:rPr>
              <w:t>1</w:t>
            </w:r>
            <w:r>
              <w:rPr>
                <w:rFonts w:hint="eastAsia" w:ascii="宋体" w:hAnsi="宋体" w:eastAsia="宋体" w:cs="宋体"/>
                <w:color w:val="auto"/>
                <w:kern w:val="0"/>
                <w:sz w:val="22"/>
              </w:rPr>
              <w:t>日至比选公告发布之日）</w:t>
            </w:r>
            <w:permEnd w:id="0"/>
          </w:p>
        </w:tc>
        <w:tc>
          <w:tcPr>
            <w:tcW w:w="1440" w:type="dxa"/>
            <w:shd w:val="clear" w:color="auto" w:fill="auto"/>
            <w:noWrap/>
            <w:vAlign w:val="center"/>
          </w:tcPr>
          <w:p w14:paraId="4C9EF683">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6F262237">
            <w:pPr>
              <w:widowControl/>
              <w:jc w:val="left"/>
              <w:rPr>
                <w:rFonts w:ascii="宋体" w:hAnsi="宋体" w:eastAsia="宋体" w:cs="宋体"/>
                <w:color w:val="auto"/>
                <w:kern w:val="0"/>
                <w:sz w:val="22"/>
              </w:rPr>
            </w:pPr>
            <w:permStart w:id="1" w:edGrp="everyone"/>
            <w:r>
              <w:rPr>
                <w:rFonts w:hint="eastAsia" w:ascii="宋体" w:hAnsi="宋体" w:eastAsia="宋体" w:cs="宋体"/>
                <w:color w:val="auto"/>
                <w:kern w:val="0"/>
                <w:sz w:val="22"/>
              </w:rPr>
              <w:t>每提供1个得</w:t>
            </w:r>
            <w:r>
              <w:rPr>
                <w:rFonts w:ascii="宋体" w:hAnsi="宋体" w:eastAsia="宋体" w:cs="宋体"/>
                <w:color w:val="auto"/>
                <w:kern w:val="0"/>
                <w:sz w:val="22"/>
              </w:rPr>
              <w:t>4</w:t>
            </w:r>
            <w:r>
              <w:rPr>
                <w:rFonts w:hint="eastAsia" w:ascii="宋体" w:hAnsi="宋体" w:eastAsia="宋体" w:cs="宋体"/>
                <w:color w:val="auto"/>
                <w:kern w:val="0"/>
                <w:sz w:val="22"/>
              </w:rPr>
              <w:t>分（与中小学校相关得</w:t>
            </w:r>
            <w:r>
              <w:rPr>
                <w:rFonts w:ascii="宋体" w:hAnsi="宋体" w:eastAsia="宋体" w:cs="宋体"/>
                <w:color w:val="auto"/>
                <w:kern w:val="0"/>
                <w:sz w:val="22"/>
              </w:rPr>
              <w:t>6</w:t>
            </w:r>
            <w:r>
              <w:rPr>
                <w:rFonts w:hint="eastAsia" w:ascii="宋体" w:hAnsi="宋体" w:eastAsia="宋体" w:cs="宋体"/>
                <w:color w:val="auto"/>
                <w:kern w:val="0"/>
                <w:sz w:val="22"/>
              </w:rPr>
              <w:t>分）满分</w:t>
            </w:r>
            <w:r>
              <w:rPr>
                <w:rFonts w:ascii="宋体" w:hAnsi="宋体" w:eastAsia="宋体" w:cs="宋体"/>
                <w:color w:val="auto"/>
                <w:kern w:val="0"/>
                <w:sz w:val="22"/>
              </w:rPr>
              <w:t>2</w:t>
            </w:r>
            <w:r>
              <w:rPr>
                <w:rFonts w:hint="eastAsia" w:ascii="宋体" w:hAnsi="宋体" w:eastAsia="宋体" w:cs="宋体"/>
                <w:color w:val="auto"/>
                <w:kern w:val="0"/>
                <w:sz w:val="22"/>
              </w:rPr>
              <w:t>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44EE94FE">
        <w:trPr>
          <w:trHeight w:val="1140" w:hRule="atLeast"/>
          <w:jc w:val="center"/>
        </w:trPr>
        <w:tc>
          <w:tcPr>
            <w:tcW w:w="988" w:type="dxa"/>
            <w:shd w:val="clear" w:color="auto" w:fill="auto"/>
            <w:vAlign w:val="center"/>
          </w:tcPr>
          <w:p w14:paraId="2E4D99A2">
            <w:pPr>
              <w:widowControl/>
              <w:jc w:val="center"/>
              <w:rPr>
                <w:rFonts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4007FEE0">
            <w:pPr>
              <w:widowControl/>
              <w:jc w:val="center"/>
              <w:rPr>
                <w:rFonts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1FD0D2D4">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785E9BBB">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89A53C5">
            <w:pPr>
              <w:widowControl/>
              <w:jc w:val="left"/>
              <w:rPr>
                <w:rFonts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5006009E">
        <w:trPr>
          <w:trHeight w:val="855" w:hRule="atLeast"/>
          <w:jc w:val="center"/>
        </w:trPr>
        <w:tc>
          <w:tcPr>
            <w:tcW w:w="988" w:type="dxa"/>
            <w:shd w:val="clear" w:color="auto" w:fill="auto"/>
            <w:vAlign w:val="center"/>
          </w:tcPr>
          <w:p w14:paraId="4AB9706E">
            <w:pPr>
              <w:widowControl/>
              <w:jc w:val="center"/>
              <w:rPr>
                <w:rFonts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5FDA48D4">
            <w:pPr>
              <w:widowControl/>
              <w:jc w:val="left"/>
              <w:rPr>
                <w:rFonts w:ascii="宋体" w:hAnsi="宋体" w:eastAsia="宋体" w:cs="宋体"/>
                <w:color w:val="auto"/>
                <w:kern w:val="0"/>
                <w:sz w:val="22"/>
              </w:rPr>
            </w:pPr>
          </w:p>
        </w:tc>
        <w:tc>
          <w:tcPr>
            <w:tcW w:w="6210" w:type="dxa"/>
            <w:shd w:val="clear" w:color="auto" w:fill="auto"/>
            <w:vAlign w:val="center"/>
          </w:tcPr>
          <w:p w14:paraId="495D4603">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C4D1281">
            <w:pPr>
              <w:widowControl/>
              <w:jc w:val="center"/>
              <w:rPr>
                <w:rFonts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074F8DF7">
            <w:pPr>
              <w:widowControl/>
              <w:jc w:val="left"/>
              <w:rPr>
                <w:rFonts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12158E3F">
        <w:trPr>
          <w:trHeight w:val="855" w:hRule="atLeast"/>
          <w:jc w:val="center"/>
        </w:trPr>
        <w:tc>
          <w:tcPr>
            <w:tcW w:w="988" w:type="dxa"/>
            <w:shd w:val="clear" w:color="auto" w:fill="auto"/>
            <w:vAlign w:val="center"/>
          </w:tcPr>
          <w:p w14:paraId="464EEE6B">
            <w:pPr>
              <w:widowControl/>
              <w:jc w:val="center"/>
              <w:rPr>
                <w:rFonts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0491E60F">
            <w:pPr>
              <w:widowControl/>
              <w:jc w:val="left"/>
              <w:rPr>
                <w:rFonts w:ascii="宋体" w:hAnsi="宋体" w:eastAsia="宋体" w:cs="宋体"/>
                <w:color w:val="auto"/>
                <w:kern w:val="0"/>
                <w:sz w:val="22"/>
              </w:rPr>
            </w:pPr>
          </w:p>
        </w:tc>
        <w:tc>
          <w:tcPr>
            <w:tcW w:w="6210" w:type="dxa"/>
            <w:shd w:val="clear" w:color="auto" w:fill="auto"/>
            <w:vAlign w:val="center"/>
          </w:tcPr>
          <w:p w14:paraId="27A8BD33">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203F496">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8641429">
            <w:pPr>
              <w:widowControl/>
              <w:jc w:val="left"/>
              <w:rPr>
                <w:rFonts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6A94C8DD">
        <w:trPr>
          <w:trHeight w:val="855" w:hRule="atLeast"/>
          <w:jc w:val="center"/>
        </w:trPr>
        <w:tc>
          <w:tcPr>
            <w:tcW w:w="988" w:type="dxa"/>
            <w:shd w:val="clear" w:color="auto" w:fill="auto"/>
            <w:vAlign w:val="center"/>
          </w:tcPr>
          <w:p w14:paraId="1FB06C20">
            <w:pPr>
              <w:widowControl/>
              <w:jc w:val="center"/>
              <w:rPr>
                <w:rFonts w:ascii="宋体" w:hAnsi="宋体" w:eastAsia="宋体" w:cs="宋体"/>
                <w:color w:val="auto"/>
                <w:kern w:val="0"/>
                <w:sz w:val="22"/>
              </w:rPr>
            </w:pPr>
            <w:r>
              <w:rPr>
                <w:rFonts w:ascii="宋体" w:hAnsi="宋体" w:eastAsia="宋体" w:cs="宋体"/>
                <w:color w:val="auto"/>
                <w:kern w:val="0"/>
                <w:sz w:val="22"/>
              </w:rPr>
              <w:t>5</w:t>
            </w:r>
          </w:p>
        </w:tc>
        <w:tc>
          <w:tcPr>
            <w:tcW w:w="1019" w:type="dxa"/>
            <w:shd w:val="clear" w:color="auto" w:fill="auto"/>
            <w:vAlign w:val="center"/>
          </w:tcPr>
          <w:p w14:paraId="26C91806">
            <w:pPr>
              <w:widowControl/>
              <w:jc w:val="center"/>
              <w:rPr>
                <w:rFonts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59508DCE">
            <w:pPr>
              <w:widowControl/>
              <w:jc w:val="left"/>
              <w:rPr>
                <w:rFonts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629162A8">
            <w:pPr>
              <w:widowControl/>
              <w:jc w:val="center"/>
              <w:rPr>
                <w:rFonts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862AD1F">
            <w:pPr>
              <w:widowControl/>
              <w:jc w:val="left"/>
              <w:rPr>
                <w:rFonts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2BB9D05A">
        <w:trPr>
          <w:trHeight w:val="405" w:hRule="atLeast"/>
          <w:jc w:val="center"/>
        </w:trPr>
        <w:tc>
          <w:tcPr>
            <w:tcW w:w="8217" w:type="dxa"/>
            <w:gridSpan w:val="3"/>
            <w:shd w:val="clear" w:color="auto" w:fill="auto"/>
            <w:vAlign w:val="center"/>
          </w:tcPr>
          <w:p w14:paraId="4A4C5E30">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5CACC5E2">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56A54568">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1B895620">
      <w:pPr>
        <w:rPr>
          <w:color w:val="auto"/>
        </w:rPr>
      </w:pPr>
      <w:r>
        <w:rPr>
          <w:rFonts w:hint="eastAsia"/>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50D7D194">
      <w:pPr>
        <w:rPr>
          <w:rFonts w:hint="eastAsia" w:ascii="宋体" w:hAnsi="宋体" w:eastAsia="宋体" w:cs="宋体"/>
          <w:color w:val="auto"/>
        </w:rPr>
      </w:pPr>
      <w:bookmarkStart w:id="0" w:name="_GoBack"/>
      <w:bookmarkEnd w:id="0"/>
    </w:p>
    <w:p w14:paraId="38073F7C"/>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87F74C"/>
    <w:rsid w:val="BD87F74C"/>
    <w:rsid w:val="E1FFA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2026-01-10T15:33:00Z</dcterms:created>
  <dc:creator>丰子</dc:creator>
  <cp:lastModifiedBy>丰子</cp:lastModifiedBy>
  <dcterms:modified xsi:type="dcterms:W3CDTF">2026-01-10T15:39:31Z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240614DC674A3B5533026269BACEA593_43</vt:lpwstr>
  </property>
</Properties>
</file>