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F48DD">
      <w:pPr>
        <w:widowControl/>
        <w:jc w:val="center"/>
        <w:rPr>
          <w:rFonts w:hint="eastAsia" w:ascii="Verdana" w:hAnsi="Verdana" w:cs="宋体"/>
          <w:b/>
          <w:bCs/>
          <w:color w:val="222222"/>
          <w:sz w:val="30"/>
          <w:szCs w:val="30"/>
          <w:highlight w:val="none"/>
        </w:rPr>
      </w:pPr>
      <w:bookmarkStart w:id="0" w:name="OLE_LINK1"/>
      <w:r>
        <w:rPr>
          <w:rFonts w:hint="eastAsia" w:ascii="Verdana" w:hAnsi="Verdana" w:cs="宋体"/>
          <w:b/>
          <w:bCs/>
          <w:color w:val="222222"/>
          <w:sz w:val="30"/>
          <w:szCs w:val="30"/>
          <w:highlight w:val="none"/>
        </w:rPr>
        <w:t>马坊村702号院10号楼(丽泽3-原1号楼)3-4层</w:t>
      </w:r>
    </w:p>
    <w:p w14:paraId="6DD7E7C1">
      <w:pPr>
        <w:widowControl/>
        <w:jc w:val="center"/>
        <w:rPr>
          <w:rFonts w:hint="eastAsia" w:ascii="宋体" w:hAnsi="宋体" w:cs="宋体"/>
          <w:b/>
          <w:bCs/>
          <w:color w:val="000000"/>
          <w:sz w:val="24"/>
          <w:szCs w:val="24"/>
          <w:highlight w:val="none"/>
        </w:rPr>
      </w:pPr>
      <w:r>
        <w:rPr>
          <w:rFonts w:hint="eastAsia" w:ascii="Verdana" w:hAnsi="Verdana" w:cs="宋体"/>
          <w:b/>
          <w:bCs/>
          <w:color w:val="222222"/>
          <w:sz w:val="30"/>
          <w:szCs w:val="30"/>
          <w:highlight w:val="none"/>
        </w:rPr>
        <w:t>抗震加固提升项目工程清单编制说明</w:t>
      </w:r>
      <w:bookmarkEnd w:id="0"/>
    </w:p>
    <w:p w14:paraId="4CF06C9A">
      <w:pPr>
        <w:keepNext w:val="0"/>
        <w:keepLines w:val="0"/>
        <w:pageBreakBefore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s="宋体"/>
          <w:b/>
          <w:bCs/>
          <w:color w:val="000000"/>
          <w:sz w:val="24"/>
          <w:szCs w:val="24"/>
          <w:highlight w:val="none"/>
        </w:rPr>
      </w:pPr>
    </w:p>
    <w:p w14:paraId="399CF64D">
      <w:pPr>
        <w:keepNext w:val="0"/>
        <w:keepLines w:val="0"/>
        <w:pageBreakBefore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222222"/>
          <w:sz w:val="24"/>
          <w:szCs w:val="24"/>
          <w:highlight w:val="none"/>
        </w:rPr>
      </w:pPr>
      <w:r>
        <w:rPr>
          <w:rFonts w:hint="eastAsia" w:ascii="宋体" w:hAnsi="宋体" w:cs="宋体"/>
          <w:b/>
          <w:bCs/>
          <w:color w:val="000000"/>
          <w:sz w:val="24"/>
          <w:szCs w:val="24"/>
          <w:highlight w:val="none"/>
        </w:rPr>
        <w:t>一、工程概况</w:t>
      </w:r>
    </w:p>
    <w:p w14:paraId="3026B292">
      <w:pPr>
        <w:keepNext w:val="0"/>
        <w:keepLines w:val="0"/>
        <w:pageBreakBefore w:val="0"/>
        <w:numPr>
          <w:ilvl w:val="0"/>
          <w:numId w:val="0"/>
        </w:numPr>
        <w:kinsoku/>
        <w:wordWrap/>
        <w:overflowPunct/>
        <w:topLinePunct w:val="0"/>
        <w:autoSpaceDE/>
        <w:autoSpaceDN/>
        <w:bidi w:val="0"/>
        <w:adjustRightInd w:val="0"/>
        <w:snapToGrid w:val="0"/>
        <w:spacing w:line="360" w:lineRule="auto"/>
        <w:textAlignment w:val="auto"/>
        <w:rPr>
          <w:rFonts w:hint="eastAsia" w:ascii="Verdana" w:hAnsi="Verdana" w:cs="宋体"/>
          <w:color w:val="222222"/>
          <w:sz w:val="24"/>
          <w:szCs w:val="24"/>
          <w:highlight w:val="none"/>
        </w:rPr>
      </w:pPr>
      <w:r>
        <w:rPr>
          <w:rFonts w:hint="eastAsia" w:ascii="宋体" w:hAnsi="宋体" w:eastAsia="宋体" w:cs="宋体"/>
          <w:color w:val="222222"/>
          <w:sz w:val="24"/>
          <w:szCs w:val="24"/>
          <w:highlight w:val="none"/>
          <w:lang w:val="en-US" w:eastAsia="zh-CN"/>
        </w:rPr>
        <w:t xml:space="preserve">    </w:t>
      </w:r>
      <w:r>
        <w:rPr>
          <w:rFonts w:hint="eastAsia" w:ascii="宋体" w:hAnsi="宋体" w:eastAsia="宋体" w:cs="宋体"/>
          <w:color w:val="222222"/>
          <w:sz w:val="24"/>
          <w:szCs w:val="24"/>
          <w:highlight w:val="none"/>
        </w:rPr>
        <w:t>工程名称：马坊村702号院10号楼(丽泽3-原1号楼)3-4层抗震加固提升项目</w:t>
      </w:r>
    </w:p>
    <w:p w14:paraId="0110BF02">
      <w:pPr>
        <w:adjustRightInd w:val="0"/>
        <w:snapToGrid w:val="0"/>
        <w:spacing w:line="360" w:lineRule="auto"/>
        <w:ind w:firstLine="480"/>
        <w:rPr>
          <w:rFonts w:hint="eastAsia" w:ascii="Verdana" w:hAnsi="Verdana" w:cs="宋体"/>
          <w:color w:val="222222"/>
          <w:sz w:val="24"/>
          <w:szCs w:val="24"/>
          <w:highlight w:val="none"/>
          <w:lang w:val="en-US" w:eastAsia="zh-CN"/>
        </w:rPr>
      </w:pPr>
      <w:r>
        <w:rPr>
          <w:rFonts w:hint="eastAsia" w:ascii="Verdana" w:hAnsi="Verdana" w:cs="宋体"/>
          <w:color w:val="222222"/>
          <w:sz w:val="24"/>
          <w:szCs w:val="24"/>
          <w:highlight w:val="none"/>
        </w:rPr>
        <w:t>建设地点：</w:t>
      </w:r>
      <w:r>
        <w:rPr>
          <w:rFonts w:hint="eastAsia" w:ascii="宋体" w:hAnsi="宋体" w:eastAsia="宋体" w:cs="宋体"/>
          <w:color w:val="222222"/>
          <w:sz w:val="24"/>
          <w:szCs w:val="24"/>
          <w:highlight w:val="none"/>
        </w:rPr>
        <w:t>北京市昌平区北七家镇曹碾村西北</w:t>
      </w:r>
    </w:p>
    <w:p w14:paraId="136522AD">
      <w:pPr>
        <w:adjustRightInd w:val="0"/>
        <w:snapToGrid w:val="0"/>
        <w:spacing w:line="360" w:lineRule="auto"/>
        <w:ind w:firstLine="480"/>
        <w:rPr>
          <w:rFonts w:hint="default" w:ascii="Verdana" w:hAnsi="Verdana" w:cs="宋体"/>
          <w:color w:val="222222"/>
          <w:sz w:val="24"/>
          <w:szCs w:val="24"/>
          <w:highlight w:val="none"/>
          <w:lang w:val="en-US" w:eastAsia="zh-CN"/>
        </w:rPr>
      </w:pPr>
      <w:r>
        <w:rPr>
          <w:rFonts w:hint="eastAsia" w:ascii="Verdana" w:hAnsi="Verdana" w:cs="宋体"/>
          <w:color w:val="222222"/>
          <w:sz w:val="24"/>
          <w:szCs w:val="24"/>
          <w:highlight w:val="none"/>
        </w:rPr>
        <w:t>建设单位：</w:t>
      </w:r>
      <w:r>
        <w:rPr>
          <w:rFonts w:hint="eastAsia" w:ascii="宋体" w:hAnsi="宋体" w:eastAsia="宋体" w:cs="宋体"/>
          <w:color w:val="222222"/>
          <w:sz w:val="24"/>
          <w:szCs w:val="24"/>
          <w:lang w:val="en-US" w:eastAsia="zh-CN"/>
        </w:rPr>
        <w:t>北京师范大学</w:t>
      </w:r>
      <w:r>
        <w:rPr>
          <w:rFonts w:hint="eastAsia" w:ascii="宋体" w:hAnsi="宋体" w:eastAsia="宋体" w:cs="宋体"/>
          <w:color w:val="222222"/>
          <w:sz w:val="24"/>
          <w:szCs w:val="24"/>
          <w:highlight w:val="none"/>
        </w:rPr>
        <w:t>亚太实验学校</w:t>
      </w:r>
    </w:p>
    <w:p w14:paraId="7E87BC09">
      <w:pPr>
        <w:adjustRightInd w:val="0"/>
        <w:snapToGrid w:val="0"/>
        <w:spacing w:line="360" w:lineRule="auto"/>
        <w:ind w:firstLine="480"/>
        <w:rPr>
          <w:rFonts w:hint="default" w:ascii="Verdana" w:hAnsi="Verdana" w:cs="宋体"/>
          <w:color w:val="222222"/>
          <w:sz w:val="24"/>
          <w:szCs w:val="24"/>
          <w:highlight w:val="none"/>
          <w:lang w:val="en-US" w:eastAsia="zh-CN"/>
        </w:rPr>
      </w:pPr>
      <w:r>
        <w:rPr>
          <w:rFonts w:hint="eastAsia" w:ascii="Verdana" w:hAnsi="Verdana" w:cs="宋体"/>
          <w:color w:val="auto"/>
          <w:sz w:val="24"/>
          <w:szCs w:val="24"/>
          <w:highlight w:val="none"/>
          <w:lang w:val="en-US" w:eastAsia="zh-CN"/>
        </w:rPr>
        <w:t>工程概况：</w:t>
      </w:r>
      <w:r>
        <w:rPr>
          <w:rFonts w:hint="eastAsia" w:ascii="宋体" w:hAnsi="宋体" w:cs="宋体"/>
          <w:color w:val="222222"/>
          <w:sz w:val="24"/>
          <w:szCs w:val="24"/>
          <w:highlight w:val="none"/>
          <w:lang w:val="en-US" w:eastAsia="zh-CN"/>
        </w:rPr>
        <w:t>本工程为既有建筑</w:t>
      </w:r>
      <w:bookmarkStart w:id="3" w:name="_GoBack"/>
      <w:bookmarkEnd w:id="3"/>
      <w:r>
        <w:rPr>
          <w:rFonts w:hint="eastAsia" w:ascii="宋体" w:hAnsi="宋体" w:cs="宋体"/>
          <w:color w:val="222222"/>
          <w:sz w:val="24"/>
          <w:szCs w:val="24"/>
          <w:highlight w:val="none"/>
          <w:lang w:val="en-US" w:eastAsia="zh-CN"/>
        </w:rPr>
        <w:t>改造，改造面积约1350m2。改造内容包括</w:t>
      </w:r>
      <w:r>
        <w:rPr>
          <w:rFonts w:hint="eastAsia" w:ascii="宋体" w:hAnsi="宋体" w:cs="宋体"/>
          <w:color w:val="222222"/>
          <w:sz w:val="24"/>
          <w:szCs w:val="24"/>
          <w:highlight w:val="none"/>
          <w:lang w:val="en-US" w:eastAsia="zh-CN"/>
        </w:rPr>
        <w:t>拆除既有装修，结构加固等</w:t>
      </w:r>
    </w:p>
    <w:p w14:paraId="39BD82FA">
      <w:pPr>
        <w:numPr>
          <w:ilvl w:val="0"/>
          <w:numId w:val="1"/>
        </w:numPr>
        <w:adjustRightInd w:val="0"/>
        <w:snapToGrid w:val="0"/>
        <w:spacing w:line="360" w:lineRule="auto"/>
        <w:rPr>
          <w:rFonts w:ascii="宋体" w:cs="Times New Roman"/>
          <w:b/>
          <w:bCs/>
          <w:sz w:val="24"/>
          <w:szCs w:val="24"/>
          <w:highlight w:val="none"/>
        </w:rPr>
      </w:pPr>
      <w:r>
        <w:rPr>
          <w:rFonts w:hint="eastAsia" w:ascii="宋体" w:hAnsi="宋体" w:cs="宋体"/>
          <w:b/>
          <w:bCs/>
          <w:sz w:val="24"/>
          <w:szCs w:val="24"/>
          <w:highlight w:val="none"/>
        </w:rPr>
        <w:t>编制范围及招标内容</w:t>
      </w:r>
    </w:p>
    <w:p w14:paraId="47B5C0F1">
      <w:pPr>
        <w:numPr>
          <w:ilvl w:val="0"/>
          <w:numId w:val="0"/>
        </w:numPr>
        <w:adjustRightInd w:val="0"/>
        <w:snapToGrid w:val="0"/>
        <w:spacing w:line="360" w:lineRule="auto"/>
        <w:rPr>
          <w:rFonts w:hint="eastAsia" w:ascii="宋体" w:hAnsi="宋体" w:eastAsia="宋体" w:cs="宋体"/>
          <w:color w:val="222222"/>
          <w:sz w:val="24"/>
          <w:szCs w:val="24"/>
          <w:highlight w:val="none"/>
          <w:lang w:eastAsia="zh-CN"/>
        </w:rPr>
      </w:pPr>
      <w:r>
        <w:rPr>
          <w:rFonts w:hint="eastAsia" w:ascii="宋体" w:hAnsi="宋体" w:cs="宋体"/>
          <w:color w:val="222222"/>
          <w:sz w:val="24"/>
          <w:szCs w:val="24"/>
          <w:highlight w:val="none"/>
          <w:lang w:val="en-US" w:eastAsia="zh-CN"/>
        </w:rPr>
        <w:t xml:space="preserve">    1、</w:t>
      </w:r>
      <w:r>
        <w:rPr>
          <w:rFonts w:hint="eastAsia" w:ascii="宋体" w:hAnsi="宋体" w:cs="宋体"/>
          <w:color w:val="222222"/>
          <w:sz w:val="24"/>
          <w:szCs w:val="24"/>
          <w:highlight w:val="none"/>
        </w:rPr>
        <w:t>编制范围: 马坊村702号院10号楼(丽泽3-原1号楼)3-4层抗震加固提升项目</w:t>
      </w:r>
    </w:p>
    <w:p w14:paraId="4412AA0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textAlignment w:val="auto"/>
        <w:rPr>
          <w:rFonts w:hint="default" w:ascii="Verdana" w:hAnsi="Verdana" w:cs="宋体"/>
          <w:color w:val="222222"/>
          <w:sz w:val="24"/>
          <w:szCs w:val="24"/>
          <w:highlight w:val="none"/>
          <w:lang w:val="en-US" w:eastAsia="zh-CN"/>
        </w:rPr>
      </w:pPr>
      <w:r>
        <w:rPr>
          <w:rFonts w:hint="eastAsia" w:ascii="宋体" w:hAnsi="宋体" w:cs="宋体"/>
          <w:color w:val="222222"/>
          <w:sz w:val="24"/>
          <w:szCs w:val="24"/>
          <w:highlight w:val="none"/>
          <w:lang w:val="en-US" w:eastAsia="zh-CN"/>
        </w:rPr>
        <w:t>2、</w:t>
      </w:r>
      <w:r>
        <w:rPr>
          <w:rFonts w:hint="eastAsia" w:ascii="宋体" w:hAnsi="宋体" w:cs="宋体"/>
          <w:color w:val="222222"/>
          <w:sz w:val="24"/>
          <w:szCs w:val="24"/>
          <w:highlight w:val="none"/>
        </w:rPr>
        <w:t>包含项目</w:t>
      </w:r>
      <w:r>
        <w:rPr>
          <w:rFonts w:hint="eastAsia" w:ascii="宋体" w:hAnsi="宋体" w:cs="宋体"/>
          <w:color w:val="222222"/>
          <w:sz w:val="24"/>
          <w:szCs w:val="24"/>
          <w:highlight w:val="none"/>
          <w:lang w:eastAsia="zh-CN"/>
        </w:rPr>
        <w:t>：</w:t>
      </w:r>
      <w:r>
        <w:rPr>
          <w:rFonts w:hint="eastAsia" w:ascii="宋体" w:hAnsi="宋体" w:cs="宋体"/>
          <w:color w:val="222222"/>
          <w:sz w:val="24"/>
          <w:szCs w:val="24"/>
          <w:highlight w:val="none"/>
          <w:lang w:val="en-US" w:eastAsia="zh-CN"/>
        </w:rPr>
        <w:t>拆除工程、结构加固工程</w:t>
      </w:r>
    </w:p>
    <w:p w14:paraId="17E2816A">
      <w:pPr>
        <w:numPr>
          <w:ilvl w:val="0"/>
          <w:numId w:val="1"/>
        </w:numPr>
        <w:adjustRightInd w:val="0"/>
        <w:snapToGrid w:val="0"/>
        <w:spacing w:line="360" w:lineRule="auto"/>
        <w:rPr>
          <w:rFonts w:ascii="宋体" w:cs="Times New Roman"/>
          <w:b/>
          <w:bCs/>
          <w:sz w:val="24"/>
          <w:szCs w:val="24"/>
          <w:highlight w:val="none"/>
        </w:rPr>
      </w:pPr>
      <w:r>
        <w:rPr>
          <w:rFonts w:hint="eastAsia" w:ascii="宋体" w:hAnsi="宋体" w:cs="宋体"/>
          <w:b/>
          <w:bCs/>
          <w:sz w:val="24"/>
          <w:szCs w:val="24"/>
          <w:highlight w:val="none"/>
        </w:rPr>
        <w:t>编制依据</w:t>
      </w:r>
    </w:p>
    <w:p w14:paraId="1FF80ECA">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1、</w:t>
      </w:r>
      <w:bookmarkStart w:id="1" w:name="OLE_LINK8"/>
      <w:r>
        <w:rPr>
          <w:rFonts w:hint="eastAsia" w:ascii="宋体" w:hAnsi="宋体" w:cs="宋体"/>
          <w:color w:val="222222"/>
          <w:sz w:val="24"/>
          <w:szCs w:val="24"/>
          <w:highlight w:val="none"/>
        </w:rPr>
        <w:t>国家、北京市有关计价法律、法规、文件的规定；</w:t>
      </w:r>
    </w:p>
    <w:p w14:paraId="7CB6829F">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2、国家和地方相应验收规范及图集；</w:t>
      </w:r>
    </w:p>
    <w:bookmarkEnd w:id="1"/>
    <w:p w14:paraId="4EFADA35">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3、</w:t>
      </w:r>
      <w:r>
        <w:rPr>
          <w:rFonts w:hint="eastAsia" w:ascii="宋体" w:hAnsi="宋体" w:eastAsia="宋体" w:cs="宋体"/>
          <w:color w:val="222222"/>
          <w:sz w:val="24"/>
          <w:szCs w:val="24"/>
          <w:highlight w:val="none"/>
          <w:lang w:val="en-US" w:eastAsia="zh-CN"/>
        </w:rPr>
        <w:t>北京市《房屋修缮工程工程量</w:t>
      </w:r>
      <w:r>
        <w:rPr>
          <w:rFonts w:hint="eastAsia" w:ascii="宋体" w:hAnsi="宋体" w:cs="宋体"/>
          <w:color w:val="222222"/>
          <w:sz w:val="24"/>
          <w:szCs w:val="24"/>
          <w:highlight w:val="none"/>
          <w:lang w:val="en-US" w:eastAsia="zh-CN"/>
        </w:rPr>
        <w:t>计算标准</w:t>
      </w:r>
      <w:r>
        <w:rPr>
          <w:rFonts w:hint="eastAsia" w:ascii="宋体" w:hAnsi="宋体" w:eastAsia="宋体" w:cs="宋体"/>
          <w:color w:val="222222"/>
          <w:sz w:val="24"/>
          <w:szCs w:val="24"/>
          <w:highlight w:val="none"/>
          <w:lang w:val="en-US" w:eastAsia="zh-CN"/>
        </w:rPr>
        <w:t>》（DB11/T 638-2023）、《建设工程工程量清单计价标准》(GB/T 50500-2024)、《房屋建筑与装饰工程工程量清单计算标准》(GB</w:t>
      </w:r>
      <w:r>
        <w:rPr>
          <w:rFonts w:hint="eastAsia" w:ascii="宋体" w:hAnsi="宋体" w:cs="宋体"/>
          <w:color w:val="222222"/>
          <w:sz w:val="24"/>
          <w:szCs w:val="24"/>
          <w:highlight w:val="none"/>
          <w:lang w:val="en-US" w:eastAsia="zh-CN"/>
        </w:rPr>
        <w:t>/T 50854</w:t>
      </w:r>
      <w:r>
        <w:rPr>
          <w:rFonts w:hint="eastAsia" w:ascii="宋体" w:hAnsi="宋体" w:eastAsia="宋体" w:cs="宋体"/>
          <w:color w:val="222222"/>
          <w:sz w:val="24"/>
          <w:szCs w:val="24"/>
          <w:highlight w:val="none"/>
          <w:lang w:val="en-US" w:eastAsia="zh-CN"/>
        </w:rPr>
        <w:t>-20</w:t>
      </w:r>
      <w:r>
        <w:rPr>
          <w:rFonts w:hint="eastAsia" w:ascii="宋体" w:hAnsi="宋体" w:cs="宋体"/>
          <w:color w:val="222222"/>
          <w:sz w:val="24"/>
          <w:szCs w:val="24"/>
          <w:highlight w:val="none"/>
          <w:lang w:val="en-US" w:eastAsia="zh-CN"/>
        </w:rPr>
        <w:t>24</w:t>
      </w:r>
      <w:r>
        <w:rPr>
          <w:rFonts w:hint="eastAsia" w:ascii="宋体" w:hAnsi="宋体" w:eastAsia="宋体" w:cs="宋体"/>
          <w:color w:val="222222"/>
          <w:sz w:val="24"/>
          <w:szCs w:val="24"/>
          <w:highlight w:val="none"/>
          <w:lang w:val="en-US" w:eastAsia="zh-CN"/>
        </w:rPr>
        <w:t>)</w:t>
      </w:r>
      <w:r>
        <w:rPr>
          <w:rFonts w:hint="eastAsia" w:ascii="宋体" w:hAnsi="宋体" w:cs="宋体"/>
          <w:color w:val="222222"/>
          <w:sz w:val="24"/>
          <w:szCs w:val="24"/>
          <w:highlight w:val="none"/>
        </w:rPr>
        <w:t>；</w:t>
      </w:r>
    </w:p>
    <w:p w14:paraId="6A5838E9">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4、马坊村702号院10号楼(丽泽3-原1号楼)3-4层抗震加固提升项目</w:t>
      </w:r>
      <w:r>
        <w:rPr>
          <w:rFonts w:hint="eastAsia" w:ascii="宋体" w:hAnsi="宋体" w:cs="宋体"/>
          <w:color w:val="222222"/>
          <w:sz w:val="24"/>
          <w:szCs w:val="24"/>
          <w:highlight w:val="none"/>
          <w:lang w:val="en-US" w:eastAsia="zh-CN"/>
        </w:rPr>
        <w:t>图纸</w:t>
      </w:r>
      <w:r>
        <w:rPr>
          <w:rFonts w:hint="eastAsia" w:ascii="宋体" w:hAnsi="宋体" w:cs="宋体"/>
          <w:color w:val="222222"/>
          <w:sz w:val="24"/>
          <w:szCs w:val="24"/>
          <w:highlight w:val="none"/>
        </w:rPr>
        <w:t>；</w:t>
      </w:r>
    </w:p>
    <w:p w14:paraId="41210539">
      <w:pPr>
        <w:adjustRightInd w:val="0"/>
        <w:snapToGrid w:val="0"/>
        <w:spacing w:line="360" w:lineRule="auto"/>
        <w:rPr>
          <w:rFonts w:hint="eastAsia" w:ascii="宋体" w:hAnsi="宋体" w:cs="宋体"/>
          <w:color w:val="222222"/>
          <w:sz w:val="24"/>
          <w:szCs w:val="24"/>
          <w:highlight w:val="none"/>
          <w:lang w:eastAsia="zh-CN"/>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5、</w:t>
      </w:r>
      <w:r>
        <w:rPr>
          <w:rFonts w:hint="eastAsia" w:ascii="宋体" w:hAnsi="宋体" w:cs="宋体"/>
          <w:color w:val="222222"/>
          <w:sz w:val="24"/>
          <w:szCs w:val="24"/>
          <w:highlight w:val="none"/>
          <w:lang w:eastAsia="zh-CN"/>
        </w:rPr>
        <w:t>《</w:t>
      </w:r>
      <w:r>
        <w:rPr>
          <w:rFonts w:hint="eastAsia" w:ascii="宋体" w:hAnsi="宋体" w:cs="宋体"/>
          <w:color w:val="222222"/>
          <w:sz w:val="24"/>
          <w:szCs w:val="24"/>
          <w:highlight w:val="none"/>
        </w:rPr>
        <w:t>北京市住房和城乡建设委员会关于重新调整北京市建设工程计价依据增值税税率的通知》（京建发（2019）114号）</w:t>
      </w:r>
      <w:r>
        <w:rPr>
          <w:rFonts w:hint="eastAsia" w:ascii="宋体" w:hAnsi="宋体" w:cs="宋体"/>
          <w:color w:val="222222"/>
          <w:sz w:val="24"/>
          <w:szCs w:val="24"/>
          <w:highlight w:val="none"/>
          <w:lang w:eastAsia="zh-CN"/>
        </w:rPr>
        <w:t>；</w:t>
      </w:r>
    </w:p>
    <w:p w14:paraId="18ECE7B3">
      <w:pPr>
        <w:adjustRightInd w:val="0"/>
        <w:snapToGrid w:val="0"/>
        <w:spacing w:line="360" w:lineRule="auto"/>
        <w:rPr>
          <w:rFonts w:hint="default" w:ascii="宋体" w:hAnsi="宋体" w:cs="宋体"/>
          <w:color w:val="222222"/>
          <w:sz w:val="24"/>
          <w:szCs w:val="24"/>
          <w:highlight w:val="none"/>
          <w:lang w:val="en-US" w:eastAsia="zh-CN"/>
        </w:rPr>
      </w:pPr>
      <w:r>
        <w:rPr>
          <w:rFonts w:hint="eastAsia" w:ascii="宋体" w:hAnsi="宋体" w:cs="宋体"/>
          <w:color w:val="222222"/>
          <w:sz w:val="24"/>
          <w:szCs w:val="24"/>
          <w:highlight w:val="none"/>
          <w:lang w:val="en-US" w:eastAsia="zh-CN"/>
        </w:rPr>
        <w:t xml:space="preserve">    6、《关于明确安全文明施工费中常态化疫情防控措施费用标准的通知》（京建发（</w:t>
      </w:r>
      <w:r>
        <w:rPr>
          <w:rFonts w:hint="default" w:ascii="宋体" w:hAnsi="宋体" w:cs="宋体"/>
          <w:color w:val="222222"/>
          <w:sz w:val="24"/>
          <w:szCs w:val="24"/>
          <w:highlight w:val="none"/>
          <w:lang w:val="en-US" w:eastAsia="zh-CN"/>
        </w:rPr>
        <w:t>2022</w:t>
      </w:r>
      <w:r>
        <w:rPr>
          <w:rFonts w:hint="eastAsia" w:ascii="宋体" w:hAnsi="宋体" w:cs="宋体"/>
          <w:color w:val="222222"/>
          <w:sz w:val="24"/>
          <w:szCs w:val="24"/>
          <w:highlight w:val="none"/>
          <w:lang w:val="en-US" w:eastAsia="zh-CN"/>
        </w:rPr>
        <w:t>）</w:t>
      </w:r>
      <w:r>
        <w:rPr>
          <w:rFonts w:hint="default" w:ascii="宋体" w:hAnsi="宋体" w:cs="宋体"/>
          <w:color w:val="222222"/>
          <w:sz w:val="24"/>
          <w:szCs w:val="24"/>
          <w:highlight w:val="none"/>
          <w:lang w:val="en-US" w:eastAsia="zh-CN"/>
        </w:rPr>
        <w:t>190号</w:t>
      </w:r>
      <w:r>
        <w:rPr>
          <w:rFonts w:hint="eastAsia" w:ascii="宋体" w:hAnsi="宋体" w:cs="宋体"/>
          <w:color w:val="222222"/>
          <w:sz w:val="24"/>
          <w:szCs w:val="24"/>
          <w:highlight w:val="none"/>
          <w:lang w:val="en-US" w:eastAsia="zh-CN"/>
        </w:rPr>
        <w:t>）。</w:t>
      </w:r>
    </w:p>
    <w:p w14:paraId="00E4ED97">
      <w:pPr>
        <w:pStyle w:val="19"/>
        <w:spacing w:line="360" w:lineRule="auto"/>
        <w:ind w:firstLine="0" w:firstLineChars="0"/>
        <w:rPr>
          <w:rFonts w:ascii="宋体" w:cs="Times New Roman"/>
          <w:b/>
          <w:bCs/>
          <w:sz w:val="24"/>
          <w:szCs w:val="24"/>
          <w:highlight w:val="none"/>
        </w:rPr>
      </w:pPr>
      <w:r>
        <w:rPr>
          <w:rFonts w:hint="eastAsia" w:ascii="宋体" w:cs="宋体"/>
          <w:b/>
          <w:bCs/>
          <w:sz w:val="24"/>
          <w:szCs w:val="24"/>
          <w:highlight w:val="none"/>
        </w:rPr>
        <w:t>四、编制说明</w:t>
      </w:r>
    </w:p>
    <w:p w14:paraId="608AC73E">
      <w:pPr>
        <w:pStyle w:val="21"/>
        <w:spacing w:line="440" w:lineRule="exact"/>
        <w:ind w:firstLine="0" w:firstLineChars="0"/>
        <w:rPr>
          <w:rFonts w:ascii="宋体" w:cs="Times New Roman"/>
          <w:kern w:val="0"/>
          <w:sz w:val="24"/>
          <w:szCs w:val="24"/>
          <w:highlight w:val="none"/>
        </w:rPr>
      </w:pPr>
      <w:bookmarkStart w:id="2" w:name="OLE_LINK3"/>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1、本工程量清单是依据</w:t>
      </w:r>
      <w:r>
        <w:rPr>
          <w:rFonts w:hint="eastAsia" w:ascii="宋体" w:hAnsi="宋体" w:eastAsia="宋体" w:cs="宋体"/>
          <w:color w:val="222222"/>
          <w:sz w:val="24"/>
          <w:szCs w:val="24"/>
          <w:highlight w:val="none"/>
          <w:lang w:val="en-US" w:eastAsia="zh-CN"/>
        </w:rPr>
        <w:t>北京市《房屋修缮工程工程量</w:t>
      </w:r>
      <w:r>
        <w:rPr>
          <w:rFonts w:hint="eastAsia" w:ascii="宋体" w:hAnsi="宋体" w:cs="宋体"/>
          <w:color w:val="222222"/>
          <w:sz w:val="24"/>
          <w:szCs w:val="24"/>
          <w:highlight w:val="none"/>
          <w:lang w:val="en-US" w:eastAsia="zh-CN"/>
        </w:rPr>
        <w:t>计算标准</w:t>
      </w:r>
      <w:r>
        <w:rPr>
          <w:rFonts w:hint="eastAsia" w:ascii="宋体" w:hAnsi="宋体" w:eastAsia="宋体" w:cs="宋体"/>
          <w:color w:val="222222"/>
          <w:sz w:val="24"/>
          <w:szCs w:val="24"/>
          <w:highlight w:val="none"/>
          <w:lang w:val="en-US" w:eastAsia="zh-CN"/>
        </w:rPr>
        <w:t>》（DB11/T 638-2023）、《建设工程工程量清单计价标准》(GB/T 50500-2024)、《房屋建筑与装饰工程工程量清单计算标准》(GB</w:t>
      </w:r>
      <w:r>
        <w:rPr>
          <w:rFonts w:hint="eastAsia" w:ascii="宋体" w:hAnsi="宋体" w:cs="宋体"/>
          <w:color w:val="222222"/>
          <w:sz w:val="24"/>
          <w:szCs w:val="24"/>
          <w:highlight w:val="none"/>
          <w:lang w:val="en-US" w:eastAsia="zh-CN"/>
        </w:rPr>
        <w:t>/T 50854</w:t>
      </w:r>
      <w:r>
        <w:rPr>
          <w:rFonts w:hint="eastAsia" w:ascii="宋体" w:hAnsi="宋体" w:eastAsia="宋体" w:cs="宋体"/>
          <w:color w:val="222222"/>
          <w:sz w:val="24"/>
          <w:szCs w:val="24"/>
          <w:highlight w:val="none"/>
          <w:lang w:val="en-US" w:eastAsia="zh-CN"/>
        </w:rPr>
        <w:t>-20</w:t>
      </w:r>
      <w:r>
        <w:rPr>
          <w:rFonts w:hint="eastAsia" w:ascii="宋体" w:hAnsi="宋体" w:cs="宋体"/>
          <w:color w:val="222222"/>
          <w:sz w:val="24"/>
          <w:szCs w:val="24"/>
          <w:highlight w:val="none"/>
          <w:lang w:val="en-US" w:eastAsia="zh-CN"/>
        </w:rPr>
        <w:t>24</w:t>
      </w:r>
      <w:r>
        <w:rPr>
          <w:rFonts w:hint="eastAsia" w:ascii="宋体" w:hAnsi="宋体" w:eastAsia="宋体" w:cs="宋体"/>
          <w:color w:val="222222"/>
          <w:sz w:val="24"/>
          <w:szCs w:val="24"/>
          <w:highlight w:val="none"/>
          <w:lang w:val="en-US" w:eastAsia="zh-CN"/>
        </w:rPr>
        <w:t>)</w:t>
      </w:r>
      <w:r>
        <w:rPr>
          <w:rFonts w:hint="eastAsia" w:ascii="宋体" w:hAnsi="宋体" w:cs="宋体"/>
          <w:kern w:val="0"/>
          <w:sz w:val="24"/>
          <w:szCs w:val="24"/>
          <w:highlight w:val="none"/>
        </w:rPr>
        <w:t>编制的；</w:t>
      </w:r>
    </w:p>
    <w:p w14:paraId="3BB97B74">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2、本工程量清单应与招标文件中投标须知、合同条件、合同协议书、工程规范和图纸等一起使用；</w:t>
      </w:r>
    </w:p>
    <w:p w14:paraId="542C0E6A">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3、工程量清单及其描述不应理解为巨细无疑，无论工程量清单中是否有列明，投标报价总价中包括按招标文件、图纸及设计要求由投标人完成的工作所需的一切费用。包括①完成每个分部分项工程所含全部工程内容的费用（包括暂估价材料设备）；②工程量清单没有列明的，但按规范或招标文件要求施工中又必须发生的工程内容所需的费用；③考虑风险因素而增加的费用。投标人投标报价时应结合工程量清单、材料做法表、施工规范、技术要求等进行综合报价、组价；</w:t>
      </w:r>
    </w:p>
    <w:p w14:paraId="05B0F0C3">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4、本工程量清单所列的工程量系招标人按</w:t>
      </w:r>
      <w:r>
        <w:rPr>
          <w:rFonts w:hint="eastAsia" w:ascii="宋体" w:hAnsi="宋体" w:cs="宋体"/>
          <w:kern w:val="0"/>
          <w:sz w:val="24"/>
          <w:szCs w:val="24"/>
          <w:highlight w:val="none"/>
          <w:lang w:eastAsia="zh-CN"/>
        </w:rPr>
        <w:t>照</w:t>
      </w:r>
      <w:r>
        <w:rPr>
          <w:rFonts w:hint="eastAsia" w:ascii="宋体" w:hAnsi="宋体" w:cs="宋体"/>
          <w:kern w:val="0"/>
          <w:sz w:val="24"/>
          <w:szCs w:val="24"/>
          <w:highlight w:val="none"/>
        </w:rPr>
        <w:t>招标图纸、建设工程工程量清单计价规范（清单中特别注明的或本说明中注明的以注明为准）计算的、或暂估的工程量，投标人应严格招标人所提供的工程量清单报价，不得更改清单内容及数量，如投标人对清单中的列项等有疑问，可在投标答疑时提出；</w:t>
      </w:r>
    </w:p>
    <w:p w14:paraId="7BDD4B8A">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5、本工程总价措施项目清单与计价表中所列项目为按照常规措施项目列示，投标人可根据招标文件及本项目特性自行补充、调整并报价，列出但不发生的记为零，其他总价措施项目按项计取，费用固定包死，不再调整；</w:t>
      </w:r>
    </w:p>
    <w:p w14:paraId="0794BF2E">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6、该清单在总价措施内考虑了以下措施，投标单位自行报价，其费用应包含该工程的全部费用；</w:t>
      </w:r>
    </w:p>
    <w:p w14:paraId="07EA28EC">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1</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为使本工程不影响施工、响应北京市环境治理（如雾霾）实施的相关措施等，采取必要的（如停工）措施所发生的费用。</w:t>
      </w:r>
    </w:p>
    <w:p w14:paraId="44D0046B">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2</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为本工程竣工资料含竣工图编制费以及办理归档手续所发生的相关费用。</w:t>
      </w:r>
    </w:p>
    <w:p w14:paraId="55CDC59B">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3</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为本工程除国家规定由发包人负责委托的检测工程以外的施工、验收等过程中所发生的一切检测费用。</w:t>
      </w:r>
    </w:p>
    <w:p w14:paraId="6FE7175A">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4</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承包人为完成本工程合同约定的责任和义务，除上述措施以外而采取的其他措施所发生的一切措施费用。</w:t>
      </w:r>
    </w:p>
    <w:p w14:paraId="3D145E1C">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5</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为本工程提供样本</w:t>
      </w:r>
      <w:r>
        <w:rPr>
          <w:rFonts w:ascii="宋体" w:hAnsi="宋体" w:cs="宋体"/>
          <w:kern w:val="0"/>
          <w:sz w:val="24"/>
          <w:szCs w:val="24"/>
          <w:highlight w:val="none"/>
        </w:rPr>
        <w:t>/</w:t>
      </w:r>
      <w:r>
        <w:rPr>
          <w:rFonts w:hint="eastAsia" w:ascii="宋体" w:hAnsi="宋体" w:cs="宋体"/>
          <w:kern w:val="0"/>
          <w:sz w:val="24"/>
          <w:szCs w:val="24"/>
          <w:highlight w:val="none"/>
        </w:rPr>
        <w:t>样品及相关费用。</w:t>
      </w:r>
    </w:p>
    <w:p w14:paraId="76AE5F78">
      <w:pPr>
        <w:pStyle w:val="21"/>
        <w:numPr>
          <w:ilvl w:val="0"/>
          <w:numId w:val="0"/>
        </w:numPr>
        <w:spacing w:line="440" w:lineRule="exact"/>
        <w:ind w:leftChars="0"/>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6</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本项目竣工对发包人人员培训费和培训资料费。</w:t>
      </w:r>
    </w:p>
    <w:p w14:paraId="54777D80">
      <w:pPr>
        <w:pStyle w:val="21"/>
        <w:numPr>
          <w:ilvl w:val="0"/>
          <w:numId w:val="0"/>
        </w:numPr>
        <w:spacing w:line="440" w:lineRule="exact"/>
        <w:ind w:leftChars="0"/>
        <w:rPr>
          <w:rFonts w:hint="eastAsia" w:ascii="宋体" w:hAnsi="宋体" w:cs="宋体"/>
          <w:kern w:val="0"/>
          <w:sz w:val="24"/>
          <w:szCs w:val="24"/>
          <w:highlight w:val="none"/>
          <w:lang w:val="en-US" w:eastAsia="zh-CN"/>
        </w:rPr>
      </w:pPr>
      <w:r>
        <w:rPr>
          <w:rFonts w:hint="eastAsia" w:ascii="宋体" w:hAnsi="宋体" w:cs="宋体"/>
          <w:kern w:val="0"/>
          <w:sz w:val="24"/>
          <w:szCs w:val="24"/>
          <w:highlight w:val="none"/>
          <w:lang w:val="en-US" w:eastAsia="zh-CN"/>
        </w:rPr>
        <w:t xml:space="preserve">  （7）依据京建发〔2016〕408号文件的规定，为本项目采取有效的技术手段和管理措施将施工产生的扬尘控制在相关指标范围内所采取的措施费用；</w:t>
      </w:r>
    </w:p>
    <w:p w14:paraId="63AA3825">
      <w:pPr>
        <w:adjustRightInd w:val="0"/>
        <w:snapToGrid w:val="0"/>
        <w:spacing w:line="360" w:lineRule="auto"/>
        <w:ind w:firstLine="480"/>
        <w:rPr>
          <w:rFonts w:hint="eastAsia" w:ascii="宋体" w:hAnsi="宋体" w:cs="宋体"/>
          <w:color w:val="222222"/>
          <w:sz w:val="24"/>
          <w:szCs w:val="24"/>
          <w:highlight w:val="none"/>
          <w:lang w:val="en-US" w:eastAsia="zh-CN"/>
        </w:rPr>
      </w:pPr>
      <w:r>
        <w:rPr>
          <w:rFonts w:hint="eastAsia" w:ascii="宋体" w:hAnsi="宋体" w:cs="宋体"/>
          <w:color w:val="222222"/>
          <w:sz w:val="24"/>
          <w:szCs w:val="24"/>
          <w:highlight w:val="none"/>
          <w:lang w:val="en-US" w:eastAsia="zh-CN"/>
        </w:rPr>
        <w:t>7、工程水电由甲方提供，费用中暂不包含。</w:t>
      </w:r>
    </w:p>
    <w:p w14:paraId="704FF6F2">
      <w:pPr>
        <w:adjustRightInd w:val="0"/>
        <w:snapToGrid w:val="0"/>
        <w:spacing w:line="360" w:lineRule="auto"/>
        <w:rPr>
          <w:rFonts w:ascii="宋体" w:hAnsi="宋体" w:cs="宋体"/>
          <w:b/>
          <w:bCs/>
          <w:sz w:val="24"/>
          <w:szCs w:val="24"/>
          <w:highlight w:val="none"/>
        </w:rPr>
      </w:pPr>
      <w:r>
        <w:rPr>
          <w:rFonts w:hint="eastAsia" w:ascii="宋体" w:hAnsi="宋体" w:cs="宋体"/>
          <w:b/>
          <w:bCs/>
          <w:sz w:val="24"/>
          <w:szCs w:val="24"/>
          <w:highlight w:val="none"/>
        </w:rPr>
        <w:t>五、其他未尽事宜详见图纸</w:t>
      </w:r>
      <w:bookmarkEnd w:id="2"/>
      <w:r>
        <w:rPr>
          <w:rFonts w:hint="eastAsia" w:ascii="宋体" w:hAnsi="宋体" w:cs="宋体"/>
          <w:b/>
          <w:bCs/>
          <w:sz w:val="24"/>
          <w:szCs w:val="24"/>
          <w:highlight w:val="none"/>
        </w:rPr>
        <w:t>及设计答疑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B78CB"/>
    <w:multiLevelType w:val="singleLevel"/>
    <w:tmpl w:val="5A2B78CB"/>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TU0Zjk0YTkyNmI2NWY2YTg0ODFkZGE4NGIwYWQ3OTMifQ=="/>
  </w:docVars>
  <w:rsids>
    <w:rsidRoot w:val="00172A27"/>
    <w:rsid w:val="00037C2E"/>
    <w:rsid w:val="00040CF9"/>
    <w:rsid w:val="00050EF2"/>
    <w:rsid w:val="00070081"/>
    <w:rsid w:val="0007185A"/>
    <w:rsid w:val="00080D43"/>
    <w:rsid w:val="00091666"/>
    <w:rsid w:val="000B1C1E"/>
    <w:rsid w:val="000B4D5E"/>
    <w:rsid w:val="000C68A8"/>
    <w:rsid w:val="000C72A9"/>
    <w:rsid w:val="000C7CE6"/>
    <w:rsid w:val="000D6781"/>
    <w:rsid w:val="000D71E8"/>
    <w:rsid w:val="000E2F72"/>
    <w:rsid w:val="00107E75"/>
    <w:rsid w:val="001229F5"/>
    <w:rsid w:val="001435D7"/>
    <w:rsid w:val="00156D54"/>
    <w:rsid w:val="00156FB0"/>
    <w:rsid w:val="001613F7"/>
    <w:rsid w:val="001678F7"/>
    <w:rsid w:val="00172A27"/>
    <w:rsid w:val="001A297B"/>
    <w:rsid w:val="001A5BD5"/>
    <w:rsid w:val="001B43BF"/>
    <w:rsid w:val="001B68D6"/>
    <w:rsid w:val="0020651B"/>
    <w:rsid w:val="00255971"/>
    <w:rsid w:val="00255D42"/>
    <w:rsid w:val="00257A08"/>
    <w:rsid w:val="00283005"/>
    <w:rsid w:val="00283B88"/>
    <w:rsid w:val="00286B02"/>
    <w:rsid w:val="00293322"/>
    <w:rsid w:val="00295E40"/>
    <w:rsid w:val="002A0D11"/>
    <w:rsid w:val="002B2D3D"/>
    <w:rsid w:val="002D34FF"/>
    <w:rsid w:val="003243EB"/>
    <w:rsid w:val="00327221"/>
    <w:rsid w:val="00334E08"/>
    <w:rsid w:val="003844FD"/>
    <w:rsid w:val="00392BE3"/>
    <w:rsid w:val="00397C19"/>
    <w:rsid w:val="003B0171"/>
    <w:rsid w:val="003C410F"/>
    <w:rsid w:val="003C4FFF"/>
    <w:rsid w:val="003C7122"/>
    <w:rsid w:val="003C722B"/>
    <w:rsid w:val="003D671F"/>
    <w:rsid w:val="003F7AF5"/>
    <w:rsid w:val="0040172C"/>
    <w:rsid w:val="004168BD"/>
    <w:rsid w:val="004256D2"/>
    <w:rsid w:val="00435601"/>
    <w:rsid w:val="00437423"/>
    <w:rsid w:val="00443094"/>
    <w:rsid w:val="00443849"/>
    <w:rsid w:val="00446CE9"/>
    <w:rsid w:val="00460522"/>
    <w:rsid w:val="00466F28"/>
    <w:rsid w:val="00471DA7"/>
    <w:rsid w:val="0047254D"/>
    <w:rsid w:val="00476AE8"/>
    <w:rsid w:val="00495365"/>
    <w:rsid w:val="004B59BE"/>
    <w:rsid w:val="004C03A4"/>
    <w:rsid w:val="004C10BE"/>
    <w:rsid w:val="004C1552"/>
    <w:rsid w:val="004D2F63"/>
    <w:rsid w:val="004E6791"/>
    <w:rsid w:val="004F3220"/>
    <w:rsid w:val="004F64DD"/>
    <w:rsid w:val="005156AA"/>
    <w:rsid w:val="005265E2"/>
    <w:rsid w:val="00526FD6"/>
    <w:rsid w:val="00554930"/>
    <w:rsid w:val="0055710B"/>
    <w:rsid w:val="00571026"/>
    <w:rsid w:val="00573247"/>
    <w:rsid w:val="0058415A"/>
    <w:rsid w:val="0059105B"/>
    <w:rsid w:val="005B3DA9"/>
    <w:rsid w:val="005C44AE"/>
    <w:rsid w:val="005E1C24"/>
    <w:rsid w:val="005F5EB6"/>
    <w:rsid w:val="00605B9B"/>
    <w:rsid w:val="00607B53"/>
    <w:rsid w:val="006278FA"/>
    <w:rsid w:val="0064433D"/>
    <w:rsid w:val="006642D0"/>
    <w:rsid w:val="00683DFF"/>
    <w:rsid w:val="006A3BF2"/>
    <w:rsid w:val="006D47A1"/>
    <w:rsid w:val="006E18F7"/>
    <w:rsid w:val="006F2FF7"/>
    <w:rsid w:val="0070425B"/>
    <w:rsid w:val="00713DAD"/>
    <w:rsid w:val="0071576E"/>
    <w:rsid w:val="00726A70"/>
    <w:rsid w:val="007275A4"/>
    <w:rsid w:val="00740527"/>
    <w:rsid w:val="0074137A"/>
    <w:rsid w:val="007455FD"/>
    <w:rsid w:val="00747295"/>
    <w:rsid w:val="00765BBE"/>
    <w:rsid w:val="00771642"/>
    <w:rsid w:val="007A376A"/>
    <w:rsid w:val="007B2628"/>
    <w:rsid w:val="0080165E"/>
    <w:rsid w:val="00813608"/>
    <w:rsid w:val="0082168B"/>
    <w:rsid w:val="00831F50"/>
    <w:rsid w:val="008457A9"/>
    <w:rsid w:val="00850E67"/>
    <w:rsid w:val="00851328"/>
    <w:rsid w:val="00881B58"/>
    <w:rsid w:val="00881DF9"/>
    <w:rsid w:val="00887107"/>
    <w:rsid w:val="008D78EF"/>
    <w:rsid w:val="008E2C8D"/>
    <w:rsid w:val="008E3EFD"/>
    <w:rsid w:val="009009A3"/>
    <w:rsid w:val="009169EE"/>
    <w:rsid w:val="0092012F"/>
    <w:rsid w:val="00931404"/>
    <w:rsid w:val="0093418B"/>
    <w:rsid w:val="00952B93"/>
    <w:rsid w:val="009533ED"/>
    <w:rsid w:val="00965768"/>
    <w:rsid w:val="00967B2C"/>
    <w:rsid w:val="00980A60"/>
    <w:rsid w:val="009853F6"/>
    <w:rsid w:val="009907B3"/>
    <w:rsid w:val="00995514"/>
    <w:rsid w:val="00997E7D"/>
    <w:rsid w:val="009B45CC"/>
    <w:rsid w:val="009C4AE0"/>
    <w:rsid w:val="009D02FF"/>
    <w:rsid w:val="009E42DF"/>
    <w:rsid w:val="00A2628F"/>
    <w:rsid w:val="00A30B04"/>
    <w:rsid w:val="00A32DB5"/>
    <w:rsid w:val="00A35CE1"/>
    <w:rsid w:val="00A41EFB"/>
    <w:rsid w:val="00A824E5"/>
    <w:rsid w:val="00AA0537"/>
    <w:rsid w:val="00AA241C"/>
    <w:rsid w:val="00AB27F1"/>
    <w:rsid w:val="00AC2293"/>
    <w:rsid w:val="00AD0501"/>
    <w:rsid w:val="00AF4BBF"/>
    <w:rsid w:val="00AF4C66"/>
    <w:rsid w:val="00B06DDC"/>
    <w:rsid w:val="00B136DE"/>
    <w:rsid w:val="00B24236"/>
    <w:rsid w:val="00B25DCC"/>
    <w:rsid w:val="00B34B5D"/>
    <w:rsid w:val="00B55817"/>
    <w:rsid w:val="00B753EF"/>
    <w:rsid w:val="00B83DB3"/>
    <w:rsid w:val="00B9292F"/>
    <w:rsid w:val="00BA3217"/>
    <w:rsid w:val="00BC4D64"/>
    <w:rsid w:val="00BD3B5F"/>
    <w:rsid w:val="00C036AD"/>
    <w:rsid w:val="00C1316D"/>
    <w:rsid w:val="00C2357A"/>
    <w:rsid w:val="00C57780"/>
    <w:rsid w:val="00C738DC"/>
    <w:rsid w:val="00C75C03"/>
    <w:rsid w:val="00CA06E6"/>
    <w:rsid w:val="00CE49FF"/>
    <w:rsid w:val="00CE687A"/>
    <w:rsid w:val="00CE7221"/>
    <w:rsid w:val="00CF1921"/>
    <w:rsid w:val="00CF7573"/>
    <w:rsid w:val="00D028AE"/>
    <w:rsid w:val="00D062B3"/>
    <w:rsid w:val="00D07102"/>
    <w:rsid w:val="00D375D0"/>
    <w:rsid w:val="00D44F10"/>
    <w:rsid w:val="00D47A43"/>
    <w:rsid w:val="00D51B88"/>
    <w:rsid w:val="00D704EF"/>
    <w:rsid w:val="00DA0308"/>
    <w:rsid w:val="00DA3803"/>
    <w:rsid w:val="00DB5A45"/>
    <w:rsid w:val="00DD2CCE"/>
    <w:rsid w:val="00DD3C2A"/>
    <w:rsid w:val="00DD4344"/>
    <w:rsid w:val="00DE03AF"/>
    <w:rsid w:val="00DE7ED6"/>
    <w:rsid w:val="00DF6065"/>
    <w:rsid w:val="00E13EC4"/>
    <w:rsid w:val="00E50C3B"/>
    <w:rsid w:val="00E5451E"/>
    <w:rsid w:val="00E910A4"/>
    <w:rsid w:val="00E93BAC"/>
    <w:rsid w:val="00E948BD"/>
    <w:rsid w:val="00EA444F"/>
    <w:rsid w:val="00EC4CEC"/>
    <w:rsid w:val="00EC73C2"/>
    <w:rsid w:val="00EE21F1"/>
    <w:rsid w:val="00F1151A"/>
    <w:rsid w:val="00F16150"/>
    <w:rsid w:val="00F22E61"/>
    <w:rsid w:val="00F33F37"/>
    <w:rsid w:val="00F37091"/>
    <w:rsid w:val="00F40A96"/>
    <w:rsid w:val="00F4513D"/>
    <w:rsid w:val="00F45458"/>
    <w:rsid w:val="00F45887"/>
    <w:rsid w:val="00F54D0E"/>
    <w:rsid w:val="00F6111A"/>
    <w:rsid w:val="00F62923"/>
    <w:rsid w:val="00FA52F8"/>
    <w:rsid w:val="00FB102E"/>
    <w:rsid w:val="00FB35FC"/>
    <w:rsid w:val="00FC5C70"/>
    <w:rsid w:val="00FD06FE"/>
    <w:rsid w:val="0115696A"/>
    <w:rsid w:val="01AB58B7"/>
    <w:rsid w:val="01AD798E"/>
    <w:rsid w:val="02255749"/>
    <w:rsid w:val="022718A8"/>
    <w:rsid w:val="0242152B"/>
    <w:rsid w:val="02753E85"/>
    <w:rsid w:val="02D51995"/>
    <w:rsid w:val="03605DB0"/>
    <w:rsid w:val="03873771"/>
    <w:rsid w:val="0394023B"/>
    <w:rsid w:val="039A5463"/>
    <w:rsid w:val="039B64CB"/>
    <w:rsid w:val="043E72B9"/>
    <w:rsid w:val="0446547F"/>
    <w:rsid w:val="047266C7"/>
    <w:rsid w:val="047B462B"/>
    <w:rsid w:val="04854BB2"/>
    <w:rsid w:val="04865571"/>
    <w:rsid w:val="04897E1B"/>
    <w:rsid w:val="0493007C"/>
    <w:rsid w:val="04CE28AF"/>
    <w:rsid w:val="05390A86"/>
    <w:rsid w:val="054642DA"/>
    <w:rsid w:val="054D3E0A"/>
    <w:rsid w:val="05552143"/>
    <w:rsid w:val="05641CD3"/>
    <w:rsid w:val="058920F6"/>
    <w:rsid w:val="05B11F2D"/>
    <w:rsid w:val="05C61C65"/>
    <w:rsid w:val="061447B4"/>
    <w:rsid w:val="06D2323F"/>
    <w:rsid w:val="06DA6AE6"/>
    <w:rsid w:val="078B02F4"/>
    <w:rsid w:val="07946D05"/>
    <w:rsid w:val="07B67FC8"/>
    <w:rsid w:val="07CF69F2"/>
    <w:rsid w:val="082C4850"/>
    <w:rsid w:val="08422A5C"/>
    <w:rsid w:val="0880746F"/>
    <w:rsid w:val="08815CFA"/>
    <w:rsid w:val="08866A2C"/>
    <w:rsid w:val="08E81BA8"/>
    <w:rsid w:val="096F497E"/>
    <w:rsid w:val="09BC7C9D"/>
    <w:rsid w:val="09C97CCC"/>
    <w:rsid w:val="09F3568C"/>
    <w:rsid w:val="0A522F41"/>
    <w:rsid w:val="0A650354"/>
    <w:rsid w:val="0A7545EE"/>
    <w:rsid w:val="0B9B3705"/>
    <w:rsid w:val="0BA54769"/>
    <w:rsid w:val="0C2105BC"/>
    <w:rsid w:val="0C8764A0"/>
    <w:rsid w:val="0CBC473B"/>
    <w:rsid w:val="0D126AF9"/>
    <w:rsid w:val="0D206423"/>
    <w:rsid w:val="0D3A304D"/>
    <w:rsid w:val="0D48288B"/>
    <w:rsid w:val="0D561779"/>
    <w:rsid w:val="0D785DF0"/>
    <w:rsid w:val="0DA6583B"/>
    <w:rsid w:val="0DDC017B"/>
    <w:rsid w:val="0E0B4A8C"/>
    <w:rsid w:val="0E2842B5"/>
    <w:rsid w:val="0EB05EA2"/>
    <w:rsid w:val="0F397874"/>
    <w:rsid w:val="0F8568DD"/>
    <w:rsid w:val="0FB94F2C"/>
    <w:rsid w:val="0FCE05DA"/>
    <w:rsid w:val="103739D1"/>
    <w:rsid w:val="10871A8F"/>
    <w:rsid w:val="10AF45FB"/>
    <w:rsid w:val="10EC17B7"/>
    <w:rsid w:val="11C06F1F"/>
    <w:rsid w:val="11CE37D3"/>
    <w:rsid w:val="12143EC2"/>
    <w:rsid w:val="12404B38"/>
    <w:rsid w:val="12911213"/>
    <w:rsid w:val="12A348CA"/>
    <w:rsid w:val="134B3618"/>
    <w:rsid w:val="135C0A0E"/>
    <w:rsid w:val="13854228"/>
    <w:rsid w:val="139A6B31"/>
    <w:rsid w:val="13A04ADA"/>
    <w:rsid w:val="13AE71F7"/>
    <w:rsid w:val="13B33CD5"/>
    <w:rsid w:val="143509B4"/>
    <w:rsid w:val="14851B53"/>
    <w:rsid w:val="149D42AB"/>
    <w:rsid w:val="14AC218B"/>
    <w:rsid w:val="14FE5BD4"/>
    <w:rsid w:val="152005A7"/>
    <w:rsid w:val="15327F3C"/>
    <w:rsid w:val="153E0DE0"/>
    <w:rsid w:val="156222A6"/>
    <w:rsid w:val="15DE72E4"/>
    <w:rsid w:val="161C705D"/>
    <w:rsid w:val="165602CE"/>
    <w:rsid w:val="16615AF9"/>
    <w:rsid w:val="169B58ED"/>
    <w:rsid w:val="16D50F3F"/>
    <w:rsid w:val="16E8757C"/>
    <w:rsid w:val="16FF17F3"/>
    <w:rsid w:val="1704592A"/>
    <w:rsid w:val="17527194"/>
    <w:rsid w:val="17CA7F97"/>
    <w:rsid w:val="18200ABC"/>
    <w:rsid w:val="18410509"/>
    <w:rsid w:val="184537B2"/>
    <w:rsid w:val="18CD523A"/>
    <w:rsid w:val="18EF2534"/>
    <w:rsid w:val="196924EB"/>
    <w:rsid w:val="196D36B1"/>
    <w:rsid w:val="1985637B"/>
    <w:rsid w:val="1A4F52C2"/>
    <w:rsid w:val="1A754F03"/>
    <w:rsid w:val="1A862F82"/>
    <w:rsid w:val="1AE94CA0"/>
    <w:rsid w:val="1AF81CA8"/>
    <w:rsid w:val="1B135D70"/>
    <w:rsid w:val="1B326531"/>
    <w:rsid w:val="1B600D32"/>
    <w:rsid w:val="1BA947B7"/>
    <w:rsid w:val="1BF00BDA"/>
    <w:rsid w:val="1C775AE3"/>
    <w:rsid w:val="1C8B523A"/>
    <w:rsid w:val="1CE722C5"/>
    <w:rsid w:val="1DF573B0"/>
    <w:rsid w:val="1E0910C5"/>
    <w:rsid w:val="1E120C8B"/>
    <w:rsid w:val="1E135AEF"/>
    <w:rsid w:val="1E136DC8"/>
    <w:rsid w:val="1E827EEE"/>
    <w:rsid w:val="1F234514"/>
    <w:rsid w:val="1F681FB1"/>
    <w:rsid w:val="200C389C"/>
    <w:rsid w:val="20D66FFC"/>
    <w:rsid w:val="20EF2551"/>
    <w:rsid w:val="21890E4C"/>
    <w:rsid w:val="219728A4"/>
    <w:rsid w:val="22063662"/>
    <w:rsid w:val="223C54D1"/>
    <w:rsid w:val="225816A4"/>
    <w:rsid w:val="22752255"/>
    <w:rsid w:val="228D673B"/>
    <w:rsid w:val="22A60DAA"/>
    <w:rsid w:val="22BC40D4"/>
    <w:rsid w:val="22C94EB3"/>
    <w:rsid w:val="22EB2052"/>
    <w:rsid w:val="23045455"/>
    <w:rsid w:val="23C3317C"/>
    <w:rsid w:val="23C43667"/>
    <w:rsid w:val="23C44815"/>
    <w:rsid w:val="23C951F5"/>
    <w:rsid w:val="23CF04E6"/>
    <w:rsid w:val="241B1FF9"/>
    <w:rsid w:val="2420245E"/>
    <w:rsid w:val="24245F59"/>
    <w:rsid w:val="24433107"/>
    <w:rsid w:val="24802FFE"/>
    <w:rsid w:val="24B30B11"/>
    <w:rsid w:val="24B90BCA"/>
    <w:rsid w:val="24BA2165"/>
    <w:rsid w:val="24DD19C7"/>
    <w:rsid w:val="24F67F2E"/>
    <w:rsid w:val="24F95459"/>
    <w:rsid w:val="254B06D9"/>
    <w:rsid w:val="254F70E4"/>
    <w:rsid w:val="257417C6"/>
    <w:rsid w:val="258A1146"/>
    <w:rsid w:val="258B5266"/>
    <w:rsid w:val="26A22A69"/>
    <w:rsid w:val="26C863CA"/>
    <w:rsid w:val="26E909E0"/>
    <w:rsid w:val="27242B8A"/>
    <w:rsid w:val="27361BD6"/>
    <w:rsid w:val="27734B61"/>
    <w:rsid w:val="27982721"/>
    <w:rsid w:val="286410C5"/>
    <w:rsid w:val="287C0370"/>
    <w:rsid w:val="28CA2242"/>
    <w:rsid w:val="291F0C07"/>
    <w:rsid w:val="292071C1"/>
    <w:rsid w:val="29626B77"/>
    <w:rsid w:val="298236A0"/>
    <w:rsid w:val="298578A9"/>
    <w:rsid w:val="299C4549"/>
    <w:rsid w:val="29F40437"/>
    <w:rsid w:val="2A0044B8"/>
    <w:rsid w:val="2A5F0725"/>
    <w:rsid w:val="2ACD3AE1"/>
    <w:rsid w:val="2AFB60CC"/>
    <w:rsid w:val="2B2447A0"/>
    <w:rsid w:val="2B2D5CB9"/>
    <w:rsid w:val="2B6D3A0D"/>
    <w:rsid w:val="2B862AD9"/>
    <w:rsid w:val="2B9A6689"/>
    <w:rsid w:val="2BD2565B"/>
    <w:rsid w:val="2BF54B65"/>
    <w:rsid w:val="2C1B0959"/>
    <w:rsid w:val="2C297805"/>
    <w:rsid w:val="2CB91AF2"/>
    <w:rsid w:val="2D2A4A75"/>
    <w:rsid w:val="2D4A0B34"/>
    <w:rsid w:val="2D687FBF"/>
    <w:rsid w:val="2DBD4203"/>
    <w:rsid w:val="2DD907AB"/>
    <w:rsid w:val="2DEF248E"/>
    <w:rsid w:val="2E1A575D"/>
    <w:rsid w:val="2EB03A2B"/>
    <w:rsid w:val="2F436F36"/>
    <w:rsid w:val="2F4C28B1"/>
    <w:rsid w:val="2FAB4306"/>
    <w:rsid w:val="2FBD1F98"/>
    <w:rsid w:val="3042753F"/>
    <w:rsid w:val="30D7231E"/>
    <w:rsid w:val="310F5665"/>
    <w:rsid w:val="314651AA"/>
    <w:rsid w:val="315279AA"/>
    <w:rsid w:val="316834ED"/>
    <w:rsid w:val="31CA4A06"/>
    <w:rsid w:val="31EB4C5F"/>
    <w:rsid w:val="32186173"/>
    <w:rsid w:val="32447AF5"/>
    <w:rsid w:val="325C242C"/>
    <w:rsid w:val="32A2049E"/>
    <w:rsid w:val="32FC4B05"/>
    <w:rsid w:val="33042538"/>
    <w:rsid w:val="33096E5B"/>
    <w:rsid w:val="33266F6C"/>
    <w:rsid w:val="33374F9E"/>
    <w:rsid w:val="336D632F"/>
    <w:rsid w:val="338A521B"/>
    <w:rsid w:val="33BF0058"/>
    <w:rsid w:val="33C42EA4"/>
    <w:rsid w:val="3443526C"/>
    <w:rsid w:val="3479065F"/>
    <w:rsid w:val="34E739E4"/>
    <w:rsid w:val="34FC1175"/>
    <w:rsid w:val="359D3D1A"/>
    <w:rsid w:val="35D94D06"/>
    <w:rsid w:val="35E2482B"/>
    <w:rsid w:val="361759E4"/>
    <w:rsid w:val="36625EF3"/>
    <w:rsid w:val="36907451"/>
    <w:rsid w:val="36B55B43"/>
    <w:rsid w:val="37063F01"/>
    <w:rsid w:val="3744035B"/>
    <w:rsid w:val="3747707B"/>
    <w:rsid w:val="376C2FAF"/>
    <w:rsid w:val="37853875"/>
    <w:rsid w:val="379F4B56"/>
    <w:rsid w:val="37A70FAD"/>
    <w:rsid w:val="37C10D75"/>
    <w:rsid w:val="37C1794F"/>
    <w:rsid w:val="380E30F8"/>
    <w:rsid w:val="387000F9"/>
    <w:rsid w:val="38BA1676"/>
    <w:rsid w:val="38CF1788"/>
    <w:rsid w:val="38D52350"/>
    <w:rsid w:val="38F65019"/>
    <w:rsid w:val="390255EB"/>
    <w:rsid w:val="3A2112EE"/>
    <w:rsid w:val="3A844A86"/>
    <w:rsid w:val="3AB53448"/>
    <w:rsid w:val="3ADC5D62"/>
    <w:rsid w:val="3AEF22BE"/>
    <w:rsid w:val="3B045E85"/>
    <w:rsid w:val="3B1E45C8"/>
    <w:rsid w:val="3B751A2F"/>
    <w:rsid w:val="3B75292C"/>
    <w:rsid w:val="3B8124D8"/>
    <w:rsid w:val="3B842468"/>
    <w:rsid w:val="3B8931B6"/>
    <w:rsid w:val="3B8E533D"/>
    <w:rsid w:val="3B914CF8"/>
    <w:rsid w:val="3BBE1781"/>
    <w:rsid w:val="3BFE4256"/>
    <w:rsid w:val="3C3A194B"/>
    <w:rsid w:val="3C4E13A9"/>
    <w:rsid w:val="3CEA3F3E"/>
    <w:rsid w:val="3D18369D"/>
    <w:rsid w:val="3D5A0F8B"/>
    <w:rsid w:val="3D7639B6"/>
    <w:rsid w:val="3D875D92"/>
    <w:rsid w:val="3E0932D7"/>
    <w:rsid w:val="3E204910"/>
    <w:rsid w:val="3E39399E"/>
    <w:rsid w:val="3E937A4C"/>
    <w:rsid w:val="3F1744A5"/>
    <w:rsid w:val="3FBB3E9E"/>
    <w:rsid w:val="3FCD3432"/>
    <w:rsid w:val="3FD2357E"/>
    <w:rsid w:val="3FE845A1"/>
    <w:rsid w:val="40040B79"/>
    <w:rsid w:val="40660AAB"/>
    <w:rsid w:val="408C2AEB"/>
    <w:rsid w:val="40981C27"/>
    <w:rsid w:val="40E42B8B"/>
    <w:rsid w:val="41013D81"/>
    <w:rsid w:val="41185CF7"/>
    <w:rsid w:val="413A63D6"/>
    <w:rsid w:val="41C064C4"/>
    <w:rsid w:val="428E1E1E"/>
    <w:rsid w:val="42D80AF1"/>
    <w:rsid w:val="430A1810"/>
    <w:rsid w:val="438A6172"/>
    <w:rsid w:val="440B6E68"/>
    <w:rsid w:val="44685D19"/>
    <w:rsid w:val="44766514"/>
    <w:rsid w:val="447D5080"/>
    <w:rsid w:val="448548FB"/>
    <w:rsid w:val="44E003B0"/>
    <w:rsid w:val="4611199C"/>
    <w:rsid w:val="467B1B5E"/>
    <w:rsid w:val="4688106D"/>
    <w:rsid w:val="46A51C06"/>
    <w:rsid w:val="47255661"/>
    <w:rsid w:val="47F1781C"/>
    <w:rsid w:val="48295555"/>
    <w:rsid w:val="48416E62"/>
    <w:rsid w:val="48797774"/>
    <w:rsid w:val="48D84455"/>
    <w:rsid w:val="49111E8B"/>
    <w:rsid w:val="493223C0"/>
    <w:rsid w:val="497876CE"/>
    <w:rsid w:val="49AB0937"/>
    <w:rsid w:val="49C87C66"/>
    <w:rsid w:val="49CE754D"/>
    <w:rsid w:val="4A1A193E"/>
    <w:rsid w:val="4A2429E1"/>
    <w:rsid w:val="4AAB0181"/>
    <w:rsid w:val="4ABA75F9"/>
    <w:rsid w:val="4B2C1A50"/>
    <w:rsid w:val="4BC42AAF"/>
    <w:rsid w:val="4C126EA2"/>
    <w:rsid w:val="4C453335"/>
    <w:rsid w:val="4C59592E"/>
    <w:rsid w:val="4D7938E1"/>
    <w:rsid w:val="4D7C5695"/>
    <w:rsid w:val="4D7E62B6"/>
    <w:rsid w:val="4DF655FF"/>
    <w:rsid w:val="4E151DAD"/>
    <w:rsid w:val="4EC20174"/>
    <w:rsid w:val="4F631354"/>
    <w:rsid w:val="4F8E0641"/>
    <w:rsid w:val="4FAD2AA4"/>
    <w:rsid w:val="4FEC72EE"/>
    <w:rsid w:val="50862F52"/>
    <w:rsid w:val="50927C66"/>
    <w:rsid w:val="50A52884"/>
    <w:rsid w:val="50F55D55"/>
    <w:rsid w:val="51204072"/>
    <w:rsid w:val="513B7923"/>
    <w:rsid w:val="513C377A"/>
    <w:rsid w:val="514F1E15"/>
    <w:rsid w:val="5182540C"/>
    <w:rsid w:val="51AA4709"/>
    <w:rsid w:val="51C8690D"/>
    <w:rsid w:val="52471BE9"/>
    <w:rsid w:val="526900F3"/>
    <w:rsid w:val="52DB614D"/>
    <w:rsid w:val="530E78F4"/>
    <w:rsid w:val="53290EEF"/>
    <w:rsid w:val="532F3D44"/>
    <w:rsid w:val="534156B8"/>
    <w:rsid w:val="5397387C"/>
    <w:rsid w:val="539D3AE3"/>
    <w:rsid w:val="53CA5101"/>
    <w:rsid w:val="541F146B"/>
    <w:rsid w:val="542B4700"/>
    <w:rsid w:val="546649A9"/>
    <w:rsid w:val="54665DEC"/>
    <w:rsid w:val="546F215E"/>
    <w:rsid w:val="54A567D2"/>
    <w:rsid w:val="54B854FB"/>
    <w:rsid w:val="55343878"/>
    <w:rsid w:val="553B314C"/>
    <w:rsid w:val="5542669C"/>
    <w:rsid w:val="55460DEE"/>
    <w:rsid w:val="55566F19"/>
    <w:rsid w:val="55A20809"/>
    <w:rsid w:val="55CC4D81"/>
    <w:rsid w:val="55E565C3"/>
    <w:rsid w:val="55FF2734"/>
    <w:rsid w:val="561D29F5"/>
    <w:rsid w:val="56571B12"/>
    <w:rsid w:val="5684380C"/>
    <w:rsid w:val="56BB044F"/>
    <w:rsid w:val="57296541"/>
    <w:rsid w:val="57334564"/>
    <w:rsid w:val="575E7B32"/>
    <w:rsid w:val="57821131"/>
    <w:rsid w:val="57A30D77"/>
    <w:rsid w:val="57AD617D"/>
    <w:rsid w:val="57AF2729"/>
    <w:rsid w:val="57CA6DF2"/>
    <w:rsid w:val="59012891"/>
    <w:rsid w:val="591C3ECD"/>
    <w:rsid w:val="59550740"/>
    <w:rsid w:val="59FC2F3F"/>
    <w:rsid w:val="5ABF583B"/>
    <w:rsid w:val="5AE86795"/>
    <w:rsid w:val="5AF44748"/>
    <w:rsid w:val="5B4C4A9A"/>
    <w:rsid w:val="5B5629F4"/>
    <w:rsid w:val="5B7F4C62"/>
    <w:rsid w:val="5BC45E64"/>
    <w:rsid w:val="5BC715C1"/>
    <w:rsid w:val="5BD82630"/>
    <w:rsid w:val="5BDC07D1"/>
    <w:rsid w:val="5BE4212A"/>
    <w:rsid w:val="5C047642"/>
    <w:rsid w:val="5C086A95"/>
    <w:rsid w:val="5C43611F"/>
    <w:rsid w:val="5C6030F6"/>
    <w:rsid w:val="5C7B4E8B"/>
    <w:rsid w:val="5C9624BC"/>
    <w:rsid w:val="5CEB5ABA"/>
    <w:rsid w:val="5D425013"/>
    <w:rsid w:val="5D5071C1"/>
    <w:rsid w:val="5D68123E"/>
    <w:rsid w:val="5D8F0D20"/>
    <w:rsid w:val="5D952AE1"/>
    <w:rsid w:val="5DB650B8"/>
    <w:rsid w:val="5DD042A4"/>
    <w:rsid w:val="5E445F9B"/>
    <w:rsid w:val="5E5B481B"/>
    <w:rsid w:val="5EF31E48"/>
    <w:rsid w:val="5F3B711D"/>
    <w:rsid w:val="5F5D3816"/>
    <w:rsid w:val="5F704713"/>
    <w:rsid w:val="5F715065"/>
    <w:rsid w:val="5F752C71"/>
    <w:rsid w:val="5F820981"/>
    <w:rsid w:val="5F9E3AAC"/>
    <w:rsid w:val="5FDD61BA"/>
    <w:rsid w:val="605E7E7F"/>
    <w:rsid w:val="607F7E6E"/>
    <w:rsid w:val="60D80F8B"/>
    <w:rsid w:val="60E20FBA"/>
    <w:rsid w:val="61A328CE"/>
    <w:rsid w:val="61ED375C"/>
    <w:rsid w:val="620C48B9"/>
    <w:rsid w:val="62162C01"/>
    <w:rsid w:val="628251AC"/>
    <w:rsid w:val="62D83D4C"/>
    <w:rsid w:val="63117168"/>
    <w:rsid w:val="63521ABA"/>
    <w:rsid w:val="63AF75E2"/>
    <w:rsid w:val="63C30523"/>
    <w:rsid w:val="63DF50E0"/>
    <w:rsid w:val="641974D9"/>
    <w:rsid w:val="64460244"/>
    <w:rsid w:val="647D3394"/>
    <w:rsid w:val="64CF1142"/>
    <w:rsid w:val="64D911C7"/>
    <w:rsid w:val="64DF6099"/>
    <w:rsid w:val="65110122"/>
    <w:rsid w:val="651D7306"/>
    <w:rsid w:val="654E74BF"/>
    <w:rsid w:val="65585580"/>
    <w:rsid w:val="65BB4208"/>
    <w:rsid w:val="65ED1DEF"/>
    <w:rsid w:val="66313479"/>
    <w:rsid w:val="665F56FC"/>
    <w:rsid w:val="66EB3918"/>
    <w:rsid w:val="66EF4115"/>
    <w:rsid w:val="6757657A"/>
    <w:rsid w:val="67837E01"/>
    <w:rsid w:val="678911A4"/>
    <w:rsid w:val="67C951FA"/>
    <w:rsid w:val="67CD3E55"/>
    <w:rsid w:val="67D21DBF"/>
    <w:rsid w:val="67E7038F"/>
    <w:rsid w:val="67E87943"/>
    <w:rsid w:val="68385260"/>
    <w:rsid w:val="684C5C46"/>
    <w:rsid w:val="68607CB5"/>
    <w:rsid w:val="688B1722"/>
    <w:rsid w:val="68993979"/>
    <w:rsid w:val="68F16ADF"/>
    <w:rsid w:val="6910404D"/>
    <w:rsid w:val="69200731"/>
    <w:rsid w:val="69711B34"/>
    <w:rsid w:val="6974447F"/>
    <w:rsid w:val="69CA5A46"/>
    <w:rsid w:val="6A3125E4"/>
    <w:rsid w:val="6A4C0C0F"/>
    <w:rsid w:val="6A736586"/>
    <w:rsid w:val="6A7E5ED7"/>
    <w:rsid w:val="6A884777"/>
    <w:rsid w:val="6A8D164E"/>
    <w:rsid w:val="6A9C0CCD"/>
    <w:rsid w:val="6B1D09D4"/>
    <w:rsid w:val="6B2D401B"/>
    <w:rsid w:val="6B6119C4"/>
    <w:rsid w:val="6B6D6AA2"/>
    <w:rsid w:val="6B755F23"/>
    <w:rsid w:val="6B9C4852"/>
    <w:rsid w:val="6BF90CBD"/>
    <w:rsid w:val="6C3B56B8"/>
    <w:rsid w:val="6C9C0F31"/>
    <w:rsid w:val="6CBF0EE2"/>
    <w:rsid w:val="6CF9466D"/>
    <w:rsid w:val="6D1D1D50"/>
    <w:rsid w:val="6D262102"/>
    <w:rsid w:val="6D4D34C7"/>
    <w:rsid w:val="6DA6308F"/>
    <w:rsid w:val="6DE36FFA"/>
    <w:rsid w:val="6ED231AD"/>
    <w:rsid w:val="6F2C5477"/>
    <w:rsid w:val="6F5953DE"/>
    <w:rsid w:val="6F5A2B7D"/>
    <w:rsid w:val="6FA7088A"/>
    <w:rsid w:val="6FBC0274"/>
    <w:rsid w:val="6FCF2198"/>
    <w:rsid w:val="702A6D7B"/>
    <w:rsid w:val="706D5ACD"/>
    <w:rsid w:val="70967F6C"/>
    <w:rsid w:val="70A77F6C"/>
    <w:rsid w:val="70B065AC"/>
    <w:rsid w:val="70B256C9"/>
    <w:rsid w:val="70CA0872"/>
    <w:rsid w:val="711A26BF"/>
    <w:rsid w:val="712016CB"/>
    <w:rsid w:val="713E32DD"/>
    <w:rsid w:val="714B0A00"/>
    <w:rsid w:val="715425EF"/>
    <w:rsid w:val="71A82423"/>
    <w:rsid w:val="71DE606F"/>
    <w:rsid w:val="722A58AF"/>
    <w:rsid w:val="72304E48"/>
    <w:rsid w:val="72775392"/>
    <w:rsid w:val="72842506"/>
    <w:rsid w:val="72CD440F"/>
    <w:rsid w:val="72F55AB7"/>
    <w:rsid w:val="733504EA"/>
    <w:rsid w:val="734B7397"/>
    <w:rsid w:val="73511848"/>
    <w:rsid w:val="739E2AB2"/>
    <w:rsid w:val="73B96119"/>
    <w:rsid w:val="73E7645F"/>
    <w:rsid w:val="74110CED"/>
    <w:rsid w:val="743C6EE0"/>
    <w:rsid w:val="747355E8"/>
    <w:rsid w:val="749D43C6"/>
    <w:rsid w:val="74F5747E"/>
    <w:rsid w:val="750A2B93"/>
    <w:rsid w:val="75386E92"/>
    <w:rsid w:val="7563663D"/>
    <w:rsid w:val="75971685"/>
    <w:rsid w:val="759F64A6"/>
    <w:rsid w:val="75A1517A"/>
    <w:rsid w:val="75D457BF"/>
    <w:rsid w:val="75DD343A"/>
    <w:rsid w:val="75EE0A38"/>
    <w:rsid w:val="760E6D52"/>
    <w:rsid w:val="76C04199"/>
    <w:rsid w:val="76CF6870"/>
    <w:rsid w:val="76DC6489"/>
    <w:rsid w:val="770F21B9"/>
    <w:rsid w:val="7717746F"/>
    <w:rsid w:val="77A04CBE"/>
    <w:rsid w:val="7810683E"/>
    <w:rsid w:val="783A4BEC"/>
    <w:rsid w:val="783A4ECE"/>
    <w:rsid w:val="786B69AC"/>
    <w:rsid w:val="786F1E0E"/>
    <w:rsid w:val="79256031"/>
    <w:rsid w:val="797901F7"/>
    <w:rsid w:val="7A5A19D0"/>
    <w:rsid w:val="7AAC5474"/>
    <w:rsid w:val="7AC3117C"/>
    <w:rsid w:val="7AD33A6E"/>
    <w:rsid w:val="7AE70FB8"/>
    <w:rsid w:val="7B1572F0"/>
    <w:rsid w:val="7B233268"/>
    <w:rsid w:val="7B370DEA"/>
    <w:rsid w:val="7B5B7505"/>
    <w:rsid w:val="7B97345F"/>
    <w:rsid w:val="7BF93CA0"/>
    <w:rsid w:val="7C0E49FF"/>
    <w:rsid w:val="7C5B527C"/>
    <w:rsid w:val="7C785252"/>
    <w:rsid w:val="7C84680A"/>
    <w:rsid w:val="7CB52D6B"/>
    <w:rsid w:val="7CCB0CC3"/>
    <w:rsid w:val="7CDC0E7D"/>
    <w:rsid w:val="7CE6254C"/>
    <w:rsid w:val="7D557B05"/>
    <w:rsid w:val="7D844A7F"/>
    <w:rsid w:val="7D853842"/>
    <w:rsid w:val="7DDA5620"/>
    <w:rsid w:val="7DFA1B49"/>
    <w:rsid w:val="7E6A4B2D"/>
    <w:rsid w:val="7E750C64"/>
    <w:rsid w:val="7E7B204E"/>
    <w:rsid w:val="7E8449AA"/>
    <w:rsid w:val="7EA038B9"/>
    <w:rsid w:val="7EA4466E"/>
    <w:rsid w:val="7EA71BC7"/>
    <w:rsid w:val="7EBB3AE0"/>
    <w:rsid w:val="7ED61642"/>
    <w:rsid w:val="7F300636"/>
    <w:rsid w:val="7F475855"/>
    <w:rsid w:val="7F9670C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3"/>
    <w:autoRedefine/>
    <w:qFormat/>
    <w:uiPriority w:val="99"/>
    <w:pPr>
      <w:spacing w:beforeAutospacing="1" w:afterAutospacing="1"/>
      <w:jc w:val="left"/>
      <w:outlineLvl w:val="0"/>
    </w:pPr>
    <w:rPr>
      <w:rFonts w:ascii="宋体" w:hAnsi="宋体" w:cs="宋体"/>
      <w:b/>
      <w:bCs/>
      <w:kern w:val="44"/>
      <w:sz w:val="48"/>
      <w:szCs w:val="48"/>
    </w:rPr>
  </w:style>
  <w:style w:type="character" w:default="1" w:styleId="10">
    <w:name w:val="Default Paragraph Font"/>
    <w:autoRedefine/>
    <w:unhideWhenUsed/>
    <w:qFormat/>
    <w:uiPriority w:val="1"/>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3">
    <w:name w:val="annotation text"/>
    <w:basedOn w:val="1"/>
    <w:link w:val="14"/>
    <w:autoRedefine/>
    <w:semiHidden/>
    <w:qFormat/>
    <w:uiPriority w:val="99"/>
    <w:pPr>
      <w:jc w:val="left"/>
    </w:pPr>
  </w:style>
  <w:style w:type="paragraph" w:styleId="4">
    <w:name w:val="Balloon Text"/>
    <w:basedOn w:val="1"/>
    <w:link w:val="16"/>
    <w:semiHidden/>
    <w:qFormat/>
    <w:uiPriority w:val="99"/>
    <w:rPr>
      <w:sz w:val="18"/>
      <w:szCs w:val="18"/>
    </w:rPr>
  </w:style>
  <w:style w:type="paragraph" w:styleId="5">
    <w:name w:val="footer"/>
    <w:basedOn w:val="1"/>
    <w:link w:val="17"/>
    <w:autoRedefine/>
    <w:qFormat/>
    <w:uiPriority w:val="99"/>
    <w:pPr>
      <w:tabs>
        <w:tab w:val="center" w:pos="4153"/>
        <w:tab w:val="right" w:pos="8306"/>
      </w:tabs>
      <w:snapToGrid w:val="0"/>
      <w:jc w:val="left"/>
    </w:pPr>
    <w:rPr>
      <w:sz w:val="18"/>
      <w:szCs w:val="18"/>
    </w:rPr>
  </w:style>
  <w:style w:type="paragraph" w:styleId="6">
    <w:name w:val="header"/>
    <w:basedOn w:val="1"/>
    <w:link w:val="18"/>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semiHidden/>
    <w:qFormat/>
    <w:locked/>
    <w:uiPriority w:val="99"/>
    <w:pPr>
      <w:spacing w:beforeAutospacing="1" w:afterAutospacing="1"/>
      <w:jc w:val="left"/>
    </w:pPr>
    <w:rPr>
      <w:kern w:val="0"/>
      <w:sz w:val="24"/>
      <w:szCs w:val="24"/>
    </w:rPr>
  </w:style>
  <w:style w:type="paragraph" w:styleId="8">
    <w:name w:val="annotation subject"/>
    <w:basedOn w:val="3"/>
    <w:next w:val="3"/>
    <w:link w:val="15"/>
    <w:autoRedefine/>
    <w:semiHidden/>
    <w:qFormat/>
    <w:uiPriority w:val="99"/>
    <w:rPr>
      <w:b/>
      <w:bCs/>
    </w:rPr>
  </w:style>
  <w:style w:type="character" w:styleId="11">
    <w:name w:val="Hyperlink"/>
    <w:autoRedefine/>
    <w:qFormat/>
    <w:uiPriority w:val="99"/>
    <w:rPr>
      <w:color w:val="0000FF"/>
      <w:u w:val="single"/>
    </w:rPr>
  </w:style>
  <w:style w:type="character" w:styleId="12">
    <w:name w:val="annotation reference"/>
    <w:autoRedefine/>
    <w:semiHidden/>
    <w:qFormat/>
    <w:uiPriority w:val="99"/>
    <w:rPr>
      <w:sz w:val="21"/>
      <w:szCs w:val="21"/>
    </w:rPr>
  </w:style>
  <w:style w:type="character" w:customStyle="1" w:styleId="13">
    <w:name w:val="标题 1 Char"/>
    <w:link w:val="2"/>
    <w:autoRedefine/>
    <w:qFormat/>
    <w:uiPriority w:val="9"/>
    <w:rPr>
      <w:rFonts w:ascii="Calibri" w:hAnsi="Calibri" w:cs="Calibri"/>
      <w:b/>
      <w:bCs/>
      <w:kern w:val="44"/>
      <w:sz w:val="44"/>
      <w:szCs w:val="44"/>
    </w:rPr>
  </w:style>
  <w:style w:type="character" w:customStyle="1" w:styleId="14">
    <w:name w:val="批注文字 Char"/>
    <w:link w:val="3"/>
    <w:autoRedefine/>
    <w:semiHidden/>
    <w:qFormat/>
    <w:locked/>
    <w:uiPriority w:val="99"/>
    <w:rPr>
      <w:rFonts w:ascii="Calibri" w:hAnsi="Calibri" w:cs="Calibri"/>
      <w:sz w:val="21"/>
      <w:szCs w:val="21"/>
    </w:rPr>
  </w:style>
  <w:style w:type="character" w:customStyle="1" w:styleId="15">
    <w:name w:val="批注主题 Char"/>
    <w:link w:val="8"/>
    <w:autoRedefine/>
    <w:semiHidden/>
    <w:qFormat/>
    <w:locked/>
    <w:uiPriority w:val="99"/>
    <w:rPr>
      <w:rFonts w:ascii="Calibri" w:hAnsi="Calibri" w:cs="Calibri"/>
      <w:b/>
      <w:bCs/>
      <w:sz w:val="21"/>
      <w:szCs w:val="21"/>
    </w:rPr>
  </w:style>
  <w:style w:type="character" w:customStyle="1" w:styleId="16">
    <w:name w:val="批注框文本 Char"/>
    <w:link w:val="4"/>
    <w:autoRedefine/>
    <w:semiHidden/>
    <w:qFormat/>
    <w:locked/>
    <w:uiPriority w:val="99"/>
    <w:rPr>
      <w:rFonts w:ascii="Calibri" w:hAnsi="Calibri" w:cs="Calibri"/>
      <w:sz w:val="2"/>
      <w:szCs w:val="2"/>
    </w:rPr>
  </w:style>
  <w:style w:type="character" w:customStyle="1" w:styleId="17">
    <w:name w:val="页脚 Char"/>
    <w:link w:val="5"/>
    <w:autoRedefine/>
    <w:semiHidden/>
    <w:qFormat/>
    <w:locked/>
    <w:uiPriority w:val="99"/>
    <w:rPr>
      <w:sz w:val="18"/>
      <w:szCs w:val="18"/>
    </w:rPr>
  </w:style>
  <w:style w:type="character" w:customStyle="1" w:styleId="18">
    <w:name w:val="页眉 Char"/>
    <w:link w:val="6"/>
    <w:autoRedefine/>
    <w:semiHidden/>
    <w:qFormat/>
    <w:locked/>
    <w:uiPriority w:val="99"/>
    <w:rPr>
      <w:sz w:val="18"/>
      <w:szCs w:val="18"/>
    </w:rPr>
  </w:style>
  <w:style w:type="paragraph" w:customStyle="1" w:styleId="19">
    <w:name w:val="List Paragraph1"/>
    <w:basedOn w:val="1"/>
    <w:autoRedefine/>
    <w:qFormat/>
    <w:uiPriority w:val="99"/>
    <w:pPr>
      <w:ind w:firstLine="420" w:firstLineChars="200"/>
    </w:pPr>
  </w:style>
  <w:style w:type="paragraph" w:customStyle="1" w:styleId="20">
    <w:name w:val="List Paragraph"/>
    <w:basedOn w:val="1"/>
    <w:autoRedefine/>
    <w:qFormat/>
    <w:uiPriority w:val="99"/>
    <w:pPr>
      <w:ind w:firstLine="420" w:firstLineChars="200"/>
    </w:pPr>
  </w:style>
  <w:style w:type="paragraph" w:customStyle="1" w:styleId="2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2</Pages>
  <Words>1423</Words>
  <Characters>1551</Characters>
  <Lines>9</Lines>
  <Paragraphs>2</Paragraphs>
  <TotalTime>0</TotalTime>
  <ScaleCrop>false</ScaleCrop>
  <LinksUpToDate>false</LinksUpToDate>
  <CharactersWithSpaces>1628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2016-09-28T01:41:00Z</dcterms:created>
  <dc:creator>User</dc:creator>
  <cp:lastModifiedBy>你在我边上</cp:lastModifiedBy>
  <cp:lastPrinted>2016-09-30T02:06:00Z</cp:lastPrinted>
  <dcterms:modified xsi:type="dcterms:W3CDTF">2026-01-19T05:35:16Z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50E33D60F32F43FCB8DD9A8C0FDAE110</vt:lpwstr>
  </property>
  <property fmtid="{D5CDD505-2E9C-101B-9397-08002B2CF9AE}" pid="4" name="KSOTemplateDocerSaveRecord">
    <vt:lpwstr>eyJoZGlkIjoiZTU0Zjk0YTkyNmI2NWY2YTg0ODFkZGE4NGIwYWQ3OTMiLCJ1c2VySWQiOiIyNDkzNTI5MTgifQ==</vt:lpwstr>
  </property>
</Properties>
</file>