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F6614">
      <w:pPr>
        <w:pStyle w:val="4"/>
        <w:rPr>
          <w:rFonts w:hint="eastAsia" w:ascii="宋体" w:hAnsi="宋体" w:eastAsia="宋体" w:cs="宋体"/>
          <w:color w:val="auto"/>
          <w:sz w:val="24"/>
        </w:rPr>
      </w:pPr>
      <w:bookmarkStart w:id="0" w:name="_GoBack"/>
      <w:r>
        <w:rPr>
          <w:rFonts w:hint="eastAsia" w:ascii="宋体" w:hAnsi="宋体" w:eastAsia="宋体" w:cs="宋体"/>
          <w:color w:val="auto"/>
          <w:sz w:val="24"/>
        </w:rPr>
        <w:t>附件3：比选评分表</w:t>
      </w:r>
    </w:p>
    <w:bookmarkEnd w:id="0"/>
    <w:p w14:paraId="5417B08E">
      <w:pPr>
        <w:jc w:val="center"/>
        <w:rPr>
          <w:rFonts w:hint="eastAsia" w:ascii="宋体" w:hAnsi="宋体" w:eastAsia="宋体" w:cs="宋体"/>
          <w:b/>
          <w:color w:val="auto"/>
          <w:sz w:val="28"/>
        </w:rPr>
      </w:pPr>
      <w:r>
        <w:rPr>
          <w:rFonts w:hint="eastAsia" w:ascii="宋体" w:hAnsi="宋体" w:eastAsia="宋体" w:cs="宋体"/>
          <w:b/>
          <w:color w:val="auto"/>
          <w:sz w:val="28"/>
        </w:rPr>
        <w:t>比选评分表</w:t>
      </w:r>
    </w:p>
    <w:p w14:paraId="1DE9A9DA">
      <w:pPr>
        <w:ind w:firstLine="420" w:firstLineChars="200"/>
        <w:rPr>
          <w:rFonts w:hint="eastAsia" w:ascii="宋体" w:hAnsi="宋体" w:eastAsia="宋体" w:cs="宋体"/>
          <w:color w:val="auto"/>
          <w:sz w:val="15"/>
          <w:szCs w:val="15"/>
        </w:rPr>
      </w:pPr>
      <w:r>
        <w:rPr>
          <w:rFonts w:hint="eastAsia" w:ascii="宋体" w:hAnsi="宋体" w:eastAsia="宋体" w:cs="宋体"/>
          <w:color w:val="auto"/>
        </w:rPr>
        <w:t>项目名称：</w:t>
      </w:r>
      <w:r>
        <w:rPr>
          <w:rFonts w:hint="eastAsia" w:ascii="宋体" w:hAnsi="宋体" w:eastAsia="宋体" w:cs="宋体"/>
          <w:b w:val="0"/>
          <w:bCs/>
          <w:color w:val="auto"/>
          <w:kern w:val="0"/>
          <w:sz w:val="21"/>
          <w:szCs w:val="21"/>
        </w:rPr>
        <w:t>马坊村702号院-12号楼(丽泽4-原6号楼)楼体整体抗震加固及装修恢复提升项目</w:t>
      </w:r>
    </w:p>
    <w:tbl>
      <w:tblPr>
        <w:tblStyle w:val="7"/>
        <w:tblW w:w="13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019"/>
        <w:gridCol w:w="6210"/>
        <w:gridCol w:w="1440"/>
        <w:gridCol w:w="3663"/>
      </w:tblGrid>
      <w:tr w14:paraId="689A959B">
        <w:trPr>
          <w:trHeight w:val="405" w:hRule="atLeast"/>
          <w:tblHeader/>
          <w:jc w:val="center"/>
        </w:trPr>
        <w:tc>
          <w:tcPr>
            <w:tcW w:w="988" w:type="dxa"/>
            <w:shd w:val="clear" w:color="auto" w:fill="auto"/>
            <w:vAlign w:val="center"/>
          </w:tcPr>
          <w:p w14:paraId="398B3B53">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序号</w:t>
            </w:r>
          </w:p>
        </w:tc>
        <w:tc>
          <w:tcPr>
            <w:tcW w:w="1019" w:type="dxa"/>
            <w:shd w:val="clear" w:color="auto" w:fill="auto"/>
            <w:vAlign w:val="center"/>
          </w:tcPr>
          <w:p w14:paraId="46BD935E">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项目</w:t>
            </w:r>
          </w:p>
        </w:tc>
        <w:tc>
          <w:tcPr>
            <w:tcW w:w="6210" w:type="dxa"/>
            <w:shd w:val="clear" w:color="auto" w:fill="auto"/>
            <w:vAlign w:val="center"/>
          </w:tcPr>
          <w:p w14:paraId="7287D3A3">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内容</w:t>
            </w:r>
          </w:p>
        </w:tc>
        <w:tc>
          <w:tcPr>
            <w:tcW w:w="1440" w:type="dxa"/>
            <w:shd w:val="clear" w:color="auto" w:fill="auto"/>
            <w:noWrap/>
            <w:vAlign w:val="center"/>
          </w:tcPr>
          <w:p w14:paraId="30B05011">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分值</w:t>
            </w:r>
          </w:p>
        </w:tc>
        <w:tc>
          <w:tcPr>
            <w:tcW w:w="3663" w:type="dxa"/>
            <w:shd w:val="clear" w:color="auto" w:fill="auto"/>
            <w:noWrap/>
            <w:vAlign w:val="center"/>
          </w:tcPr>
          <w:p w14:paraId="5B92813B">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打分原则</w:t>
            </w:r>
          </w:p>
        </w:tc>
      </w:tr>
      <w:tr w14:paraId="55BE2E37">
        <w:trPr>
          <w:trHeight w:val="264" w:hRule="atLeast"/>
          <w:jc w:val="center"/>
        </w:trPr>
        <w:tc>
          <w:tcPr>
            <w:tcW w:w="988" w:type="dxa"/>
            <w:shd w:val="clear" w:color="auto" w:fill="auto"/>
            <w:vAlign w:val="center"/>
          </w:tcPr>
          <w:p w14:paraId="659D0E42">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1019" w:type="dxa"/>
            <w:vMerge w:val="restart"/>
            <w:shd w:val="clear" w:color="auto" w:fill="auto"/>
            <w:vAlign w:val="center"/>
          </w:tcPr>
          <w:p w14:paraId="5F617C6E">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资格</w:t>
            </w:r>
          </w:p>
        </w:tc>
        <w:tc>
          <w:tcPr>
            <w:tcW w:w="6210" w:type="dxa"/>
            <w:shd w:val="clear" w:color="auto" w:fill="auto"/>
            <w:noWrap/>
            <w:vAlign w:val="center"/>
          </w:tcPr>
          <w:p w14:paraId="2599855D">
            <w:pPr>
              <w:widowControl/>
              <w:rPr>
                <w:rFonts w:hint="eastAsia" w:ascii="宋体" w:hAnsi="宋体" w:eastAsia="宋体" w:cs="宋体"/>
                <w:color w:val="auto"/>
                <w:kern w:val="0"/>
                <w:sz w:val="22"/>
              </w:rPr>
            </w:pPr>
            <w:r>
              <w:rPr>
                <w:rFonts w:hint="eastAsia" w:ascii="宋体" w:hAnsi="宋体" w:eastAsia="宋体" w:cs="宋体"/>
                <w:color w:val="auto"/>
                <w:kern w:val="0"/>
                <w:sz w:val="22"/>
              </w:rPr>
              <w:t>营业执照且满足公告要求</w:t>
            </w:r>
          </w:p>
        </w:tc>
        <w:tc>
          <w:tcPr>
            <w:tcW w:w="1440" w:type="dxa"/>
            <w:shd w:val="clear" w:color="auto" w:fill="auto"/>
            <w:noWrap/>
            <w:vAlign w:val="center"/>
          </w:tcPr>
          <w:p w14:paraId="052D747A">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73F778DF">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1E75FE4B">
        <w:trPr>
          <w:trHeight w:val="570" w:hRule="atLeast"/>
          <w:jc w:val="center"/>
        </w:trPr>
        <w:tc>
          <w:tcPr>
            <w:tcW w:w="988" w:type="dxa"/>
            <w:shd w:val="clear" w:color="auto" w:fill="auto"/>
            <w:vAlign w:val="center"/>
          </w:tcPr>
          <w:p w14:paraId="0DB2B8B3">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2</w:t>
            </w:r>
          </w:p>
        </w:tc>
        <w:tc>
          <w:tcPr>
            <w:tcW w:w="1019" w:type="dxa"/>
            <w:vMerge w:val="continue"/>
            <w:shd w:val="clear" w:color="auto" w:fill="auto"/>
            <w:vAlign w:val="center"/>
          </w:tcPr>
          <w:p w14:paraId="554B744E">
            <w:pPr>
              <w:widowControl/>
              <w:jc w:val="center"/>
              <w:rPr>
                <w:rFonts w:hint="eastAsia" w:ascii="宋体" w:hAnsi="宋体" w:eastAsia="宋体" w:cs="宋体"/>
                <w:color w:val="auto"/>
                <w:kern w:val="0"/>
                <w:sz w:val="22"/>
              </w:rPr>
            </w:pPr>
          </w:p>
        </w:tc>
        <w:tc>
          <w:tcPr>
            <w:tcW w:w="6210" w:type="dxa"/>
            <w:shd w:val="clear" w:color="auto" w:fill="auto"/>
            <w:noWrap/>
            <w:vAlign w:val="center"/>
          </w:tcPr>
          <w:p w14:paraId="6C40BA9A">
            <w:pPr>
              <w:widowControl/>
              <w:rPr>
                <w:rFonts w:hint="eastAsia" w:ascii="宋体" w:hAnsi="宋体" w:eastAsia="宋体" w:cs="宋体"/>
                <w:color w:val="auto"/>
                <w:kern w:val="0"/>
                <w:sz w:val="22"/>
              </w:rPr>
            </w:pPr>
            <w:r>
              <w:rPr>
                <w:rFonts w:hint="eastAsia" w:ascii="宋体" w:hAnsi="宋体" w:eastAsia="宋体" w:cs="宋体"/>
                <w:color w:val="auto"/>
                <w:kern w:val="0"/>
                <w:sz w:val="22"/>
              </w:rPr>
              <w:t>具备特种工程(结构补强)专业承包不分等级，建筑工程施工总承包贰级（含）以上资质，并持有有效《安全生产许可证》；提供加固类（玄武岩纤维韧性砂浆加固）相关业绩（合同复印件及项目验收单）</w:t>
            </w:r>
          </w:p>
        </w:tc>
        <w:tc>
          <w:tcPr>
            <w:tcW w:w="1440" w:type="dxa"/>
            <w:shd w:val="clear" w:color="auto" w:fill="auto"/>
            <w:noWrap/>
            <w:vAlign w:val="center"/>
          </w:tcPr>
          <w:p w14:paraId="47B239EB">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w:t>
            </w:r>
          </w:p>
        </w:tc>
        <w:tc>
          <w:tcPr>
            <w:tcW w:w="3663" w:type="dxa"/>
            <w:shd w:val="clear" w:color="auto" w:fill="auto"/>
            <w:vAlign w:val="center"/>
          </w:tcPr>
          <w:p w14:paraId="62412F12">
            <w:pPr>
              <w:widowControl/>
              <w:jc w:val="left"/>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未提供或不符合要求取消参加比选的资格</w:t>
            </w:r>
          </w:p>
        </w:tc>
      </w:tr>
      <w:tr w14:paraId="7376A554">
        <w:trPr>
          <w:trHeight w:val="287" w:hRule="atLeast"/>
          <w:jc w:val="center"/>
        </w:trPr>
        <w:tc>
          <w:tcPr>
            <w:tcW w:w="988" w:type="dxa"/>
            <w:shd w:val="clear" w:color="auto" w:fill="auto"/>
            <w:vAlign w:val="center"/>
          </w:tcPr>
          <w:p w14:paraId="1227A1C6">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3</w:t>
            </w:r>
          </w:p>
        </w:tc>
        <w:tc>
          <w:tcPr>
            <w:tcW w:w="1019" w:type="dxa"/>
            <w:vMerge w:val="continue"/>
            <w:vAlign w:val="center"/>
          </w:tcPr>
          <w:p w14:paraId="2FF58DF0">
            <w:pPr>
              <w:widowControl/>
              <w:jc w:val="left"/>
              <w:rPr>
                <w:rFonts w:hint="eastAsia" w:ascii="宋体" w:hAnsi="宋体" w:eastAsia="宋体" w:cs="宋体"/>
                <w:color w:val="auto"/>
                <w:kern w:val="0"/>
                <w:sz w:val="22"/>
              </w:rPr>
            </w:pPr>
          </w:p>
        </w:tc>
        <w:tc>
          <w:tcPr>
            <w:tcW w:w="6210" w:type="dxa"/>
            <w:shd w:val="clear" w:color="auto" w:fill="auto"/>
            <w:noWrap/>
            <w:vAlign w:val="center"/>
          </w:tcPr>
          <w:p w14:paraId="428F4DCD">
            <w:pPr>
              <w:widowControl/>
              <w:rPr>
                <w:rFonts w:hint="eastAsia" w:ascii="宋体" w:hAnsi="宋体" w:eastAsia="宋体" w:cs="宋体"/>
                <w:color w:val="auto"/>
                <w:kern w:val="0"/>
                <w:sz w:val="22"/>
              </w:rPr>
            </w:pPr>
            <w:r>
              <w:rPr>
                <w:rFonts w:hint="eastAsia" w:ascii="宋体" w:hAnsi="宋体" w:eastAsia="宋体" w:cs="宋体"/>
                <w:color w:val="auto"/>
                <w:kern w:val="0"/>
                <w:sz w:val="22"/>
              </w:rPr>
              <w:t>法人授权委托书（需附委托人及被委托人身份证复印件）</w:t>
            </w:r>
          </w:p>
        </w:tc>
        <w:tc>
          <w:tcPr>
            <w:tcW w:w="1440" w:type="dxa"/>
            <w:shd w:val="clear" w:color="auto" w:fill="auto"/>
            <w:noWrap/>
            <w:vAlign w:val="center"/>
          </w:tcPr>
          <w:p w14:paraId="1D7F20D8">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724453B7">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5B0437A1">
        <w:trPr>
          <w:trHeight w:val="710" w:hRule="atLeast"/>
          <w:jc w:val="center"/>
        </w:trPr>
        <w:tc>
          <w:tcPr>
            <w:tcW w:w="988" w:type="dxa"/>
            <w:shd w:val="clear" w:color="auto" w:fill="auto"/>
            <w:vAlign w:val="center"/>
          </w:tcPr>
          <w:p w14:paraId="2D8CD84C">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4</w:t>
            </w:r>
          </w:p>
        </w:tc>
        <w:tc>
          <w:tcPr>
            <w:tcW w:w="1019" w:type="dxa"/>
            <w:vMerge w:val="continue"/>
            <w:vAlign w:val="center"/>
          </w:tcPr>
          <w:p w14:paraId="1510C173">
            <w:pPr>
              <w:widowControl/>
              <w:jc w:val="left"/>
              <w:rPr>
                <w:rFonts w:hint="eastAsia" w:ascii="宋体" w:hAnsi="宋体" w:eastAsia="宋体" w:cs="宋体"/>
                <w:color w:val="auto"/>
                <w:kern w:val="0"/>
                <w:sz w:val="22"/>
              </w:rPr>
            </w:pPr>
          </w:p>
        </w:tc>
        <w:tc>
          <w:tcPr>
            <w:tcW w:w="6210" w:type="dxa"/>
            <w:shd w:val="clear" w:color="auto" w:fill="auto"/>
            <w:noWrap/>
            <w:vAlign w:val="center"/>
          </w:tcPr>
          <w:p w14:paraId="4D8C160C">
            <w:pPr>
              <w:widowControl/>
              <w:rPr>
                <w:rFonts w:hint="eastAsia" w:ascii="宋体" w:hAnsi="宋体" w:eastAsia="宋体" w:cs="宋体"/>
                <w:color w:val="auto"/>
                <w:kern w:val="0"/>
                <w:sz w:val="22"/>
              </w:rPr>
            </w:pPr>
            <w:r>
              <w:rPr>
                <w:rFonts w:hint="eastAsia" w:ascii="宋体" w:hAnsi="宋体" w:eastAsia="宋体" w:cs="宋体"/>
                <w:color w:val="auto"/>
                <w:kern w:val="0"/>
                <w:sz w:val="22"/>
              </w:rPr>
              <w:t>上一年度财务审计报告复印件（或提供以下三项：财务报表、银行出具的资信证明材料复印件、近半年任意一个月的依法缴纳税收的证明（纳税凭证）复印件）</w:t>
            </w:r>
          </w:p>
        </w:tc>
        <w:tc>
          <w:tcPr>
            <w:tcW w:w="1440" w:type="dxa"/>
            <w:shd w:val="clear" w:color="auto" w:fill="auto"/>
            <w:noWrap/>
            <w:vAlign w:val="center"/>
          </w:tcPr>
          <w:p w14:paraId="495EF27E">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5B78B3AE">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7F1EFDCC">
        <w:trPr>
          <w:trHeight w:val="1215" w:hRule="atLeast"/>
          <w:jc w:val="center"/>
        </w:trPr>
        <w:tc>
          <w:tcPr>
            <w:tcW w:w="988" w:type="dxa"/>
            <w:shd w:val="clear" w:color="auto" w:fill="auto"/>
            <w:vAlign w:val="center"/>
          </w:tcPr>
          <w:p w14:paraId="22E988E8">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5</w:t>
            </w:r>
          </w:p>
        </w:tc>
        <w:tc>
          <w:tcPr>
            <w:tcW w:w="1019" w:type="dxa"/>
            <w:vMerge w:val="continue"/>
            <w:vAlign w:val="center"/>
          </w:tcPr>
          <w:p w14:paraId="551BFB9C">
            <w:pPr>
              <w:widowControl/>
              <w:jc w:val="left"/>
              <w:rPr>
                <w:rFonts w:hint="eastAsia" w:ascii="宋体" w:hAnsi="宋体" w:eastAsia="宋体" w:cs="宋体"/>
                <w:color w:val="auto"/>
                <w:kern w:val="0"/>
                <w:sz w:val="22"/>
              </w:rPr>
            </w:pPr>
          </w:p>
        </w:tc>
        <w:tc>
          <w:tcPr>
            <w:tcW w:w="6210" w:type="dxa"/>
            <w:shd w:val="clear" w:color="auto" w:fill="auto"/>
            <w:noWrap/>
            <w:vAlign w:val="center"/>
          </w:tcPr>
          <w:p w14:paraId="5763DC9C">
            <w:pPr>
              <w:widowControl/>
              <w:rPr>
                <w:rFonts w:hint="eastAsia" w:ascii="宋体" w:hAnsi="宋体" w:eastAsia="宋体" w:cs="宋体"/>
                <w:color w:val="auto"/>
                <w:kern w:val="0"/>
                <w:sz w:val="22"/>
              </w:rPr>
            </w:pPr>
            <w:r>
              <w:rPr>
                <w:rFonts w:hint="eastAsia" w:ascii="宋体" w:hAnsi="宋体" w:eastAsia="宋体" w:cs="宋体"/>
                <w:color w:val="auto"/>
                <w:kern w:val="0"/>
                <w:sz w:val="22"/>
              </w:rPr>
              <w:t>未被列入“信用中国”网站(www.creditchina.gov.cn)记录失信被执行人查询结果</w:t>
            </w:r>
          </w:p>
        </w:tc>
        <w:tc>
          <w:tcPr>
            <w:tcW w:w="1440" w:type="dxa"/>
            <w:shd w:val="clear" w:color="auto" w:fill="auto"/>
            <w:noWrap/>
            <w:vAlign w:val="center"/>
          </w:tcPr>
          <w:p w14:paraId="22024872">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14B7969D">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2EA4E3CA">
        <w:trPr>
          <w:trHeight w:val="1650" w:hRule="atLeast"/>
          <w:jc w:val="center"/>
        </w:trPr>
        <w:tc>
          <w:tcPr>
            <w:tcW w:w="988" w:type="dxa"/>
            <w:shd w:val="clear" w:color="auto" w:fill="auto"/>
            <w:vAlign w:val="center"/>
          </w:tcPr>
          <w:p w14:paraId="0E20B0EA">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6</w:t>
            </w:r>
          </w:p>
        </w:tc>
        <w:tc>
          <w:tcPr>
            <w:tcW w:w="1019" w:type="dxa"/>
            <w:vMerge w:val="continue"/>
            <w:vAlign w:val="center"/>
          </w:tcPr>
          <w:p w14:paraId="1E21C5E4">
            <w:pPr>
              <w:widowControl/>
              <w:jc w:val="left"/>
              <w:rPr>
                <w:rFonts w:hint="eastAsia" w:ascii="宋体" w:hAnsi="宋体" w:eastAsia="宋体" w:cs="宋体"/>
                <w:color w:val="auto"/>
                <w:kern w:val="0"/>
                <w:sz w:val="22"/>
              </w:rPr>
            </w:pPr>
          </w:p>
        </w:tc>
        <w:tc>
          <w:tcPr>
            <w:tcW w:w="6210" w:type="dxa"/>
            <w:shd w:val="clear" w:color="auto" w:fill="auto"/>
            <w:vAlign w:val="center"/>
          </w:tcPr>
          <w:p w14:paraId="6B2D7385">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参选单位近三年（至比选日）无骗取中标、被限制投标、违约行为、重大责任事故承诺书（格式自拟）</w:t>
            </w:r>
          </w:p>
        </w:tc>
        <w:tc>
          <w:tcPr>
            <w:tcW w:w="1440" w:type="dxa"/>
            <w:shd w:val="clear" w:color="auto" w:fill="auto"/>
            <w:noWrap/>
            <w:vAlign w:val="center"/>
          </w:tcPr>
          <w:p w14:paraId="2CE78B8E">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53E04F9D">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28AF60F4">
        <w:trPr>
          <w:trHeight w:val="1425" w:hRule="atLeast"/>
          <w:jc w:val="center"/>
        </w:trPr>
        <w:tc>
          <w:tcPr>
            <w:tcW w:w="988" w:type="dxa"/>
            <w:shd w:val="clear" w:color="auto" w:fill="auto"/>
            <w:vAlign w:val="center"/>
          </w:tcPr>
          <w:p w14:paraId="574C73EF">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1019" w:type="dxa"/>
            <w:shd w:val="clear" w:color="auto" w:fill="auto"/>
            <w:vAlign w:val="center"/>
          </w:tcPr>
          <w:p w14:paraId="5FA0FF7E">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商务部分</w:t>
            </w:r>
          </w:p>
        </w:tc>
        <w:tc>
          <w:tcPr>
            <w:tcW w:w="6210" w:type="dxa"/>
            <w:shd w:val="clear" w:color="auto" w:fill="auto"/>
            <w:vAlign w:val="center"/>
          </w:tcPr>
          <w:p w14:paraId="130824F9">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近三年同类业绩</w:t>
            </w:r>
            <w:permStart w:id="0" w:edGrp="everyone"/>
            <w:r>
              <w:rPr>
                <w:rFonts w:hint="eastAsia" w:ascii="宋体" w:hAnsi="宋体" w:eastAsia="宋体" w:cs="宋体"/>
                <w:color w:val="auto"/>
                <w:kern w:val="0"/>
                <w:sz w:val="22"/>
              </w:rPr>
              <w:t>（202</w:t>
            </w:r>
            <w:r>
              <w:rPr>
                <w:rFonts w:hint="eastAsia" w:ascii="宋体" w:hAnsi="宋体" w:eastAsia="宋体" w:cs="宋体"/>
                <w:color w:val="auto"/>
                <w:kern w:val="0"/>
                <w:sz w:val="22"/>
                <w:lang w:val="en-US" w:eastAsia="zh-CN"/>
              </w:rPr>
              <w:t>3</w:t>
            </w:r>
            <w:r>
              <w:rPr>
                <w:rFonts w:hint="eastAsia" w:ascii="宋体" w:hAnsi="宋体" w:eastAsia="宋体" w:cs="宋体"/>
                <w:color w:val="auto"/>
                <w:kern w:val="0"/>
                <w:sz w:val="22"/>
              </w:rPr>
              <w:t>年1月1日至比选公告发布之日）</w:t>
            </w:r>
            <w:permEnd w:id="0"/>
          </w:p>
        </w:tc>
        <w:tc>
          <w:tcPr>
            <w:tcW w:w="1440" w:type="dxa"/>
            <w:shd w:val="clear" w:color="auto" w:fill="auto"/>
            <w:noWrap/>
            <w:vAlign w:val="center"/>
          </w:tcPr>
          <w:p w14:paraId="787A7214">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20</w:t>
            </w:r>
          </w:p>
        </w:tc>
        <w:tc>
          <w:tcPr>
            <w:tcW w:w="3663" w:type="dxa"/>
            <w:shd w:val="clear" w:color="auto" w:fill="auto"/>
            <w:vAlign w:val="center"/>
          </w:tcPr>
          <w:p w14:paraId="18783C26">
            <w:pPr>
              <w:widowControl/>
              <w:jc w:val="left"/>
              <w:rPr>
                <w:rFonts w:hint="eastAsia" w:ascii="宋体" w:hAnsi="宋体" w:eastAsia="宋体" w:cs="宋体"/>
                <w:color w:val="auto"/>
                <w:kern w:val="0"/>
                <w:sz w:val="22"/>
              </w:rPr>
            </w:pPr>
            <w:permStart w:id="1" w:edGrp="everyone"/>
            <w:r>
              <w:rPr>
                <w:rFonts w:hint="eastAsia" w:ascii="宋体" w:hAnsi="宋体" w:eastAsia="宋体" w:cs="宋体"/>
                <w:color w:val="auto"/>
                <w:kern w:val="0"/>
                <w:sz w:val="22"/>
              </w:rPr>
              <w:t>每提供1个得4分（与中小学校相关得6分）满分20分。</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需提供合同关键信息（金额、时间、盖章页等）或项目履约（验收双方盖章版）合格评价证明文件作为得分依据。</w:t>
            </w:r>
            <w:permEnd w:id="1"/>
          </w:p>
        </w:tc>
      </w:tr>
      <w:tr w14:paraId="5D9AE9BA">
        <w:trPr>
          <w:trHeight w:val="1140" w:hRule="atLeast"/>
          <w:jc w:val="center"/>
        </w:trPr>
        <w:tc>
          <w:tcPr>
            <w:tcW w:w="988" w:type="dxa"/>
            <w:shd w:val="clear" w:color="auto" w:fill="auto"/>
            <w:vAlign w:val="center"/>
          </w:tcPr>
          <w:p w14:paraId="68B75586">
            <w:pPr>
              <w:widowControl/>
              <w:jc w:val="center"/>
              <w:rPr>
                <w:rFonts w:hint="eastAsia" w:ascii="宋体" w:hAnsi="宋体" w:eastAsia="宋体" w:cs="宋体"/>
                <w:color w:val="auto"/>
                <w:kern w:val="0"/>
                <w:sz w:val="22"/>
              </w:rPr>
            </w:pPr>
            <w:permStart w:id="2" w:edGrp="everyone" w:colFirst="1" w:colLast="1"/>
            <w:permStart w:id="3" w:edGrp="everyone" w:colFirst="2" w:colLast="2"/>
            <w:permStart w:id="4" w:edGrp="everyone" w:colFirst="3" w:colLast="3"/>
            <w:permStart w:id="5" w:edGrp="everyone" w:colFirst="4" w:colLast="4"/>
            <w:r>
              <w:rPr>
                <w:rFonts w:hint="eastAsia" w:ascii="宋体" w:hAnsi="宋体" w:eastAsia="宋体" w:cs="宋体"/>
                <w:color w:val="auto"/>
                <w:kern w:val="0"/>
                <w:sz w:val="22"/>
              </w:rPr>
              <w:t>2</w:t>
            </w:r>
          </w:p>
        </w:tc>
        <w:tc>
          <w:tcPr>
            <w:tcW w:w="1019" w:type="dxa"/>
            <w:vMerge w:val="restart"/>
            <w:shd w:val="clear" w:color="auto" w:fill="auto"/>
            <w:vAlign w:val="center"/>
          </w:tcPr>
          <w:p w14:paraId="1452FE49">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技术部分</w:t>
            </w:r>
          </w:p>
        </w:tc>
        <w:tc>
          <w:tcPr>
            <w:tcW w:w="6210" w:type="dxa"/>
            <w:shd w:val="clear" w:color="auto" w:fill="auto"/>
            <w:vAlign w:val="center"/>
          </w:tcPr>
          <w:p w14:paraId="0CD65674">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项目实施团队配置</w:t>
            </w:r>
          </w:p>
        </w:tc>
        <w:tc>
          <w:tcPr>
            <w:tcW w:w="1440" w:type="dxa"/>
            <w:shd w:val="clear" w:color="auto" w:fill="auto"/>
            <w:noWrap/>
            <w:vAlign w:val="center"/>
          </w:tcPr>
          <w:p w14:paraId="57F50D66">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10</w:t>
            </w:r>
          </w:p>
        </w:tc>
        <w:tc>
          <w:tcPr>
            <w:tcW w:w="3663" w:type="dxa"/>
            <w:shd w:val="clear" w:color="auto" w:fill="auto"/>
            <w:vAlign w:val="center"/>
          </w:tcPr>
          <w:p w14:paraId="0FECFE9E">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根据服务团队人员的配置情况、分工情况及人员所持证书情况进行评比，优得8-10分;中得5-7分；差得0-5分。(不提供得0分)</w:t>
            </w:r>
          </w:p>
        </w:tc>
      </w:tr>
      <w:permEnd w:id="2"/>
      <w:permEnd w:id="3"/>
      <w:permEnd w:id="4"/>
      <w:permEnd w:id="5"/>
      <w:tr w14:paraId="7429BE33">
        <w:trPr>
          <w:trHeight w:val="855" w:hRule="atLeast"/>
          <w:jc w:val="center"/>
        </w:trPr>
        <w:tc>
          <w:tcPr>
            <w:tcW w:w="988" w:type="dxa"/>
            <w:shd w:val="clear" w:color="auto" w:fill="auto"/>
            <w:vAlign w:val="center"/>
          </w:tcPr>
          <w:p w14:paraId="32E1FB6A">
            <w:pPr>
              <w:widowControl/>
              <w:jc w:val="center"/>
              <w:rPr>
                <w:rFonts w:hint="eastAsia" w:ascii="宋体" w:hAnsi="宋体" w:eastAsia="宋体" w:cs="宋体"/>
                <w:color w:val="auto"/>
                <w:kern w:val="0"/>
                <w:sz w:val="22"/>
              </w:rPr>
            </w:pPr>
            <w:permStart w:id="6" w:edGrp="everyone" w:colFirst="2" w:colLast="2"/>
            <w:permStart w:id="7" w:edGrp="everyone" w:colFirst="3" w:colLast="3"/>
            <w:permStart w:id="8" w:edGrp="everyone" w:colFirst="4" w:colLast="4"/>
            <w:r>
              <w:rPr>
                <w:rFonts w:hint="eastAsia" w:ascii="宋体" w:hAnsi="宋体" w:eastAsia="宋体" w:cs="宋体"/>
                <w:color w:val="auto"/>
                <w:kern w:val="0"/>
                <w:sz w:val="22"/>
              </w:rPr>
              <w:t>3</w:t>
            </w:r>
          </w:p>
        </w:tc>
        <w:tc>
          <w:tcPr>
            <w:tcW w:w="1019" w:type="dxa"/>
            <w:vMerge w:val="continue"/>
            <w:vAlign w:val="center"/>
          </w:tcPr>
          <w:p w14:paraId="434E3B16">
            <w:pPr>
              <w:widowControl/>
              <w:jc w:val="left"/>
              <w:rPr>
                <w:rFonts w:hint="eastAsia" w:ascii="宋体" w:hAnsi="宋体" w:eastAsia="宋体" w:cs="宋体"/>
                <w:color w:val="auto"/>
                <w:kern w:val="0"/>
                <w:sz w:val="22"/>
              </w:rPr>
            </w:pPr>
          </w:p>
        </w:tc>
        <w:tc>
          <w:tcPr>
            <w:tcW w:w="6210" w:type="dxa"/>
            <w:shd w:val="clear" w:color="auto" w:fill="auto"/>
            <w:vAlign w:val="center"/>
          </w:tcPr>
          <w:p w14:paraId="216D9ACC">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项目方案</w:t>
            </w:r>
          </w:p>
        </w:tc>
        <w:tc>
          <w:tcPr>
            <w:tcW w:w="1440" w:type="dxa"/>
            <w:shd w:val="clear" w:color="auto" w:fill="auto"/>
            <w:noWrap/>
            <w:vAlign w:val="center"/>
          </w:tcPr>
          <w:p w14:paraId="2A91D662">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30</w:t>
            </w:r>
          </w:p>
        </w:tc>
        <w:tc>
          <w:tcPr>
            <w:tcW w:w="3663" w:type="dxa"/>
            <w:shd w:val="clear" w:color="auto" w:fill="auto"/>
            <w:vAlign w:val="center"/>
          </w:tcPr>
          <w:p w14:paraId="197D6E22">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对方案做全面分析阐述。优得20-30分;中得10-20分；差得0-10分。(不提供得0分)</w:t>
            </w:r>
          </w:p>
        </w:tc>
      </w:tr>
      <w:permEnd w:id="6"/>
      <w:permEnd w:id="7"/>
      <w:permEnd w:id="8"/>
      <w:tr w14:paraId="24C5CC3B">
        <w:trPr>
          <w:trHeight w:val="855" w:hRule="atLeast"/>
          <w:jc w:val="center"/>
        </w:trPr>
        <w:tc>
          <w:tcPr>
            <w:tcW w:w="988" w:type="dxa"/>
            <w:shd w:val="clear" w:color="auto" w:fill="auto"/>
            <w:vAlign w:val="center"/>
          </w:tcPr>
          <w:p w14:paraId="45A1D71A">
            <w:pPr>
              <w:widowControl/>
              <w:jc w:val="center"/>
              <w:rPr>
                <w:rFonts w:hint="eastAsia" w:ascii="宋体" w:hAnsi="宋体" w:eastAsia="宋体" w:cs="宋体"/>
                <w:color w:val="auto"/>
                <w:kern w:val="0"/>
                <w:sz w:val="22"/>
              </w:rPr>
            </w:pPr>
            <w:permStart w:id="9" w:edGrp="everyone" w:colFirst="2" w:colLast="2"/>
            <w:permStart w:id="10" w:edGrp="everyone" w:colFirst="3" w:colLast="3"/>
            <w:permStart w:id="11" w:edGrp="everyone" w:colFirst="4" w:colLast="4"/>
            <w:r>
              <w:rPr>
                <w:rFonts w:hint="eastAsia" w:ascii="宋体" w:hAnsi="宋体" w:eastAsia="宋体" w:cs="宋体"/>
                <w:color w:val="auto"/>
                <w:kern w:val="0"/>
                <w:sz w:val="22"/>
              </w:rPr>
              <w:t>4</w:t>
            </w:r>
          </w:p>
        </w:tc>
        <w:tc>
          <w:tcPr>
            <w:tcW w:w="1019" w:type="dxa"/>
            <w:vMerge w:val="continue"/>
            <w:vAlign w:val="center"/>
          </w:tcPr>
          <w:p w14:paraId="7ABD161A">
            <w:pPr>
              <w:widowControl/>
              <w:jc w:val="left"/>
              <w:rPr>
                <w:rFonts w:hint="eastAsia" w:ascii="宋体" w:hAnsi="宋体" w:eastAsia="宋体" w:cs="宋体"/>
                <w:color w:val="auto"/>
                <w:kern w:val="0"/>
                <w:sz w:val="22"/>
              </w:rPr>
            </w:pPr>
          </w:p>
        </w:tc>
        <w:tc>
          <w:tcPr>
            <w:tcW w:w="6210" w:type="dxa"/>
            <w:shd w:val="clear" w:color="auto" w:fill="auto"/>
            <w:vAlign w:val="center"/>
          </w:tcPr>
          <w:p w14:paraId="5BD0EF8F">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项目进度、质量保证及售后服务</w:t>
            </w:r>
          </w:p>
        </w:tc>
        <w:tc>
          <w:tcPr>
            <w:tcW w:w="1440" w:type="dxa"/>
            <w:shd w:val="clear" w:color="auto" w:fill="auto"/>
            <w:noWrap/>
            <w:vAlign w:val="center"/>
          </w:tcPr>
          <w:p w14:paraId="57D39332">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10</w:t>
            </w:r>
          </w:p>
        </w:tc>
        <w:tc>
          <w:tcPr>
            <w:tcW w:w="3663" w:type="dxa"/>
            <w:shd w:val="clear" w:color="auto" w:fill="auto"/>
            <w:vAlign w:val="center"/>
          </w:tcPr>
          <w:p w14:paraId="4CDD090A">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提供进度和质量保证及售后服务的承诺(提供承诺函，格式自拟)，得10分。（未承诺不得分）</w:t>
            </w:r>
          </w:p>
        </w:tc>
      </w:tr>
      <w:permEnd w:id="9"/>
      <w:permEnd w:id="10"/>
      <w:permEnd w:id="11"/>
      <w:tr w14:paraId="189852E8">
        <w:trPr>
          <w:trHeight w:val="855" w:hRule="atLeast"/>
          <w:jc w:val="center"/>
        </w:trPr>
        <w:tc>
          <w:tcPr>
            <w:tcW w:w="988" w:type="dxa"/>
            <w:shd w:val="clear" w:color="auto" w:fill="auto"/>
            <w:vAlign w:val="center"/>
          </w:tcPr>
          <w:p w14:paraId="0087E985">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5</w:t>
            </w:r>
          </w:p>
        </w:tc>
        <w:tc>
          <w:tcPr>
            <w:tcW w:w="1019" w:type="dxa"/>
            <w:shd w:val="clear" w:color="auto" w:fill="auto"/>
            <w:vAlign w:val="center"/>
          </w:tcPr>
          <w:p w14:paraId="37A60700">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价格部分</w:t>
            </w:r>
          </w:p>
        </w:tc>
        <w:tc>
          <w:tcPr>
            <w:tcW w:w="6210" w:type="dxa"/>
            <w:shd w:val="clear" w:color="auto" w:fill="auto"/>
            <w:vAlign w:val="center"/>
          </w:tcPr>
          <w:p w14:paraId="3F469313">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报价</w:t>
            </w:r>
          </w:p>
        </w:tc>
        <w:tc>
          <w:tcPr>
            <w:tcW w:w="1440" w:type="dxa"/>
            <w:shd w:val="clear" w:color="auto" w:fill="auto"/>
            <w:noWrap/>
            <w:vAlign w:val="center"/>
          </w:tcPr>
          <w:p w14:paraId="49FFF3FB">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30</w:t>
            </w:r>
          </w:p>
        </w:tc>
        <w:tc>
          <w:tcPr>
            <w:tcW w:w="3663" w:type="dxa"/>
            <w:shd w:val="clear" w:color="auto" w:fill="auto"/>
            <w:vAlign w:val="center"/>
          </w:tcPr>
          <w:p w14:paraId="2C770835">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报价最低得满分，（最低响应报价/响应报价）*该项总分值(四舍五入后取整）</w:t>
            </w:r>
          </w:p>
        </w:tc>
      </w:tr>
      <w:tr w14:paraId="1EE522F7">
        <w:trPr>
          <w:trHeight w:val="405" w:hRule="atLeast"/>
          <w:jc w:val="center"/>
        </w:trPr>
        <w:tc>
          <w:tcPr>
            <w:tcW w:w="8217" w:type="dxa"/>
            <w:gridSpan w:val="3"/>
            <w:shd w:val="clear" w:color="auto" w:fill="auto"/>
            <w:vAlign w:val="center"/>
          </w:tcPr>
          <w:p w14:paraId="4DEE5FAC">
            <w:pPr>
              <w:widowControl/>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总得分</w:t>
            </w:r>
          </w:p>
        </w:tc>
        <w:tc>
          <w:tcPr>
            <w:tcW w:w="1440" w:type="dxa"/>
            <w:shd w:val="clear" w:color="auto" w:fill="auto"/>
            <w:vAlign w:val="center"/>
          </w:tcPr>
          <w:p w14:paraId="74FA2EEA">
            <w:pPr>
              <w:widowControl/>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100</w:t>
            </w:r>
          </w:p>
        </w:tc>
        <w:tc>
          <w:tcPr>
            <w:tcW w:w="3663" w:type="dxa"/>
            <w:shd w:val="clear" w:color="auto" w:fill="auto"/>
            <w:vAlign w:val="center"/>
          </w:tcPr>
          <w:p w14:paraId="30EB4297">
            <w:pPr>
              <w:widowControl/>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　</w:t>
            </w:r>
          </w:p>
        </w:tc>
      </w:tr>
    </w:tbl>
    <w:p w14:paraId="0E5E19B4">
      <w:pPr>
        <w:rPr>
          <w:rFonts w:hint="eastAsia" w:ascii="宋体" w:hAnsi="宋体" w:eastAsia="宋体" w:cs="宋体"/>
          <w:color w:val="auto"/>
        </w:rPr>
      </w:pPr>
      <w:r>
        <w:rPr>
          <w:rFonts w:hint="eastAsia" w:ascii="宋体" w:hAnsi="宋体" w:eastAsia="宋体" w:cs="宋体"/>
          <w:color w:val="auto"/>
        </w:rPr>
        <w:t>注：比选小组根据评分标准对资格审查合格的响应文件进行综合比较与评价，汇总每个供应商的得分（评审总得分分值按四舍五入原则取整）。按评审最终得分由高到低顺序排列，排名第一的供应商成为成交供应商（出现并列第一的情况，则依次将报价高低、技术部分得分高低、商务部分得分高低作为确定中选候选人的标准，直至选出中选候选人）。</w:t>
      </w:r>
    </w:p>
    <w:p w14:paraId="012207D3"/>
    <w:sectPr>
      <w:pgSz w:w="16838" w:h="11906" w:orient="landscape"/>
      <w:pgMar w:top="1135" w:right="1440" w:bottom="1800" w:left="1135" w:header="851" w:footer="6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EEAD36"/>
    <w:rsid w:val="3FE3FF9B"/>
    <w:rsid w:val="51FBB5A8"/>
    <w:rsid w:val="FFEEA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9"/>
    <w:pPr>
      <w:keepNext/>
      <w:keepLines/>
      <w:spacing w:before="260" w:after="260" w:line="416" w:lineRule="auto"/>
      <w:outlineLvl w:val="1"/>
    </w:pPr>
    <w:rPr>
      <w:rFonts w:ascii="Arial" w:hAnsi="Arial" w:eastAsia="黑体" w:cs="Times New Roman"/>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2"/>
    <w:qFormat/>
    <w:uiPriority w:val="0"/>
    <w:pPr>
      <w:spacing w:after="120"/>
      <w:ind w:left="420" w:leftChars="200"/>
    </w:pPr>
  </w:style>
  <w:style w:type="paragraph" w:styleId="5">
    <w:name w:val="Plain Text"/>
    <w:basedOn w:val="1"/>
    <w:qFormat/>
    <w:uiPriority w:val="0"/>
    <w:rPr>
      <w:rFonts w:ascii="宋体" w:hAnsi="Courier New" w:eastAsia="宋体" w:cs="Times New Roman"/>
      <w:szCs w:val="20"/>
    </w:rPr>
  </w:style>
  <w:style w:type="paragraph" w:styleId="6">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2026-07-19T12:22:00Z</dcterms:created>
  <dc:creator>丰子</dc:creator>
  <cp:lastModifiedBy>丰子</cp:lastModifiedBy>
  <dcterms:modified xsi:type="dcterms:W3CDTF">2026-07-19T12:23:22Z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9958F95E66C7DC8D3A515C6AD482E7A9_43</vt:lpwstr>
  </property>
</Properties>
</file>