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C130">
      <w:pPr>
        <w:rPr>
          <w:rFonts w:ascii="宋体" w:hAnsi="宋体" w:eastAsia="宋体" w:cs="宋体"/>
          <w:b/>
          <w:bCs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szCs w:val="24"/>
          <w:shd w:val="clear" w:color="auto" w:fill="FFFFFF"/>
        </w:rPr>
        <w:t>附件4：</w:t>
      </w:r>
    </w:p>
    <w:bookmarkEnd w:id="0"/>
    <w:p w14:paraId="6408122C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28"/>
          <w:lang w:val="en-US" w:eastAsia="zh-CN"/>
        </w:rPr>
        <w:t>阳光剧场 新增灯光设备需求参数（计划）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296"/>
        <w:gridCol w:w="1113"/>
        <w:gridCol w:w="5034"/>
        <w:gridCol w:w="1147"/>
      </w:tblGrid>
      <w:tr w14:paraId="4042F7AD">
        <w:trPr>
          <w:cantSplit/>
          <w:tblHeader/>
          <w:jc w:val="center"/>
        </w:trPr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265BC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  <w:t>安装位置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8C76D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  <w:t>灯具类型</w:t>
            </w:r>
          </w:p>
        </w:tc>
        <w:tc>
          <w:tcPr>
            <w:tcW w:w="11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3F7E9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  <w:t>数量</w:t>
            </w:r>
          </w:p>
        </w:tc>
        <w:tc>
          <w:tcPr>
            <w:tcW w:w="50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7578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14:ligatures w14:val="standardContextual"/>
              </w:rPr>
              <w:t>主要用途</w:t>
            </w:r>
          </w:p>
        </w:tc>
        <w:tc>
          <w:tcPr>
            <w:tcW w:w="1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00220">
            <w:pPr>
              <w:widowControl/>
              <w:spacing w:after="160" w:line="278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/>
                <w14:ligatures w14:val="standardContextual"/>
              </w:rPr>
              <w:t>品牌要求</w:t>
            </w:r>
          </w:p>
        </w:tc>
      </w:tr>
      <w:tr w14:paraId="3AF497B1">
        <w:trPr>
          <w:cantSplit/>
          <w:trHeight w:val="1050" w:hRule="atLeast"/>
          <w:jc w:val="center"/>
        </w:trPr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91727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新增吊杆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EEB5A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染色摇头电脑灯</w:t>
            </w:r>
          </w:p>
        </w:tc>
        <w:tc>
          <w:tcPr>
            <w:tcW w:w="11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6CD61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12台</w:t>
            </w:r>
          </w:p>
        </w:tc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09EA2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均匀布置于新增吊杆，用于舞台染色、逆光、光束运动及演出氛围营造。</w:t>
            </w:r>
          </w:p>
        </w:tc>
        <w:tc>
          <w:tcPr>
            <w:tcW w:w="11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06D73">
            <w:pPr>
              <w:spacing w:before="0" w:after="0" w:line="276" w:lineRule="auto"/>
              <w:jc w:val="left"/>
              <w:rPr>
                <w:rFonts w:hint="default" w:ascii="仿宋" w:hAnsi="仿宋" w:eastAsia="仿宋" w:cs="仿宋"/>
                <w:b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  <w:t>彩熠、雅江或优质国产品牌</w:t>
            </w:r>
          </w:p>
        </w:tc>
      </w:tr>
      <w:tr w14:paraId="2B131745">
        <w:trPr>
          <w:cantSplit/>
          <w:jc w:val="center"/>
        </w:trPr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D3BB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舞台后区第2道杆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B99AF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平板灯</w:t>
            </w:r>
          </w:p>
        </w:tc>
        <w:tc>
          <w:tcPr>
            <w:tcW w:w="11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40B8F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8台</w:t>
            </w:r>
          </w:p>
        </w:tc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B573E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补充临近LED大屏区域的后区人物面光，改善演员进入后区后的面部亮度。</w:t>
            </w:r>
          </w:p>
        </w:tc>
        <w:tc>
          <w:tcPr>
            <w:tcW w:w="1147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E7C40">
            <w:pPr>
              <w:spacing w:before="0" w:after="0" w:line="276" w:lineRule="auto"/>
              <w:jc w:val="left"/>
              <w:rPr>
                <w:rFonts w:hint="eastAsia" w:ascii="仿宋" w:hAnsi="仿宋" w:eastAsia="仿宋" w:cs="仿宋"/>
                <w:b w:val="0"/>
                <w:sz w:val="18"/>
              </w:rPr>
            </w:pPr>
          </w:p>
        </w:tc>
      </w:tr>
      <w:tr w14:paraId="23B258A5">
        <w:trPr>
          <w:cantSplit/>
          <w:jc w:val="center"/>
        </w:trPr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4CAF1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舞台后区第3道杆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D70AD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平板灯</w:t>
            </w:r>
          </w:p>
        </w:tc>
        <w:tc>
          <w:tcPr>
            <w:tcW w:w="11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9EE22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8台</w:t>
            </w:r>
          </w:p>
        </w:tc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FC0E6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与第2道杆形成前后配合，扩大后区覆盖范围并提升照度均匀性。</w:t>
            </w:r>
          </w:p>
        </w:tc>
        <w:tc>
          <w:tcPr>
            <w:tcW w:w="1147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557D4">
            <w:pPr>
              <w:spacing w:before="0" w:after="0" w:line="276" w:lineRule="auto"/>
              <w:jc w:val="left"/>
              <w:rPr>
                <w:rFonts w:hint="eastAsia" w:ascii="仿宋" w:hAnsi="仿宋" w:eastAsia="仿宋" w:cs="仿宋"/>
                <w:b w:val="0"/>
                <w:sz w:val="18"/>
              </w:rPr>
            </w:pPr>
          </w:p>
        </w:tc>
      </w:tr>
      <w:tr w14:paraId="1A8F94BF">
        <w:trPr>
          <w:cantSplit/>
          <w:jc w:val="center"/>
        </w:trPr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C1567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舞台左侧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0BF41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平板灯</w:t>
            </w:r>
          </w:p>
        </w:tc>
        <w:tc>
          <w:tcPr>
            <w:tcW w:w="11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2D229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4台</w:t>
            </w:r>
          </w:p>
        </w:tc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6785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从侧向补充人物面部及轮廓光，减轻单一正面照明形成的平面感。</w:t>
            </w:r>
          </w:p>
        </w:tc>
        <w:tc>
          <w:tcPr>
            <w:tcW w:w="1147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EC855">
            <w:pPr>
              <w:spacing w:before="0" w:after="0" w:line="276" w:lineRule="auto"/>
              <w:jc w:val="left"/>
              <w:rPr>
                <w:rFonts w:hint="eastAsia" w:ascii="仿宋" w:hAnsi="仿宋" w:eastAsia="仿宋" w:cs="仿宋"/>
                <w:b w:val="0"/>
                <w:sz w:val="18"/>
              </w:rPr>
            </w:pPr>
          </w:p>
        </w:tc>
      </w:tr>
      <w:tr w14:paraId="727B08FC">
        <w:trPr>
          <w:cantSplit/>
          <w:jc w:val="center"/>
        </w:trPr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4999C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舞台右侧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E56A0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平板灯</w:t>
            </w:r>
          </w:p>
        </w:tc>
        <w:tc>
          <w:tcPr>
            <w:tcW w:w="11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F5AE3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4台</w:t>
            </w:r>
          </w:p>
        </w:tc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0AA83">
            <w:pPr>
              <w:widowControl/>
              <w:spacing w:after="160" w:line="278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14:ligatures w14:val="standardContextual"/>
              </w:rPr>
              <w:t>与左侧灯位对应，保证不同走位及朝向下的补光平衡。</w:t>
            </w:r>
          </w:p>
        </w:tc>
        <w:tc>
          <w:tcPr>
            <w:tcW w:w="1147" w:type="dxa"/>
            <w:vMerge w:val="continu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E7310">
            <w:pPr>
              <w:spacing w:before="0" w:after="0" w:line="276" w:lineRule="auto"/>
              <w:jc w:val="left"/>
              <w:rPr>
                <w:rFonts w:hint="eastAsia" w:ascii="仿宋" w:hAnsi="仿宋" w:eastAsia="仿宋" w:cs="仿宋"/>
                <w:b w:val="0"/>
                <w:sz w:val="18"/>
              </w:rPr>
            </w:pPr>
          </w:p>
        </w:tc>
      </w:tr>
      <w:tr w14:paraId="1B404534">
        <w:trPr>
          <w:cantSplit/>
          <w:jc w:val="center"/>
        </w:trPr>
        <w:tc>
          <w:tcPr>
            <w:tcW w:w="459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35A32">
            <w:pPr>
              <w:widowControl/>
              <w:spacing w:after="160" w:line="278" w:lineRule="auto"/>
              <w:jc w:val="right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  <w:t>合计</w:t>
            </w:r>
          </w:p>
        </w:tc>
        <w:tc>
          <w:tcPr>
            <w:tcW w:w="11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A620A">
            <w:pPr>
              <w:widowControl/>
              <w:spacing w:after="160" w:line="278" w:lineRule="auto"/>
              <w:jc w:val="left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  <w:t>36台</w:t>
            </w:r>
          </w:p>
        </w:tc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87820">
            <w:pPr>
              <w:widowControl/>
              <w:spacing w:after="160" w:line="278" w:lineRule="auto"/>
              <w:jc w:val="left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  <w14:ligatures w14:val="standardContextual"/>
              </w:rPr>
              <w:t>提升剧场整体灯光效果</w:t>
            </w:r>
          </w:p>
        </w:tc>
        <w:tc>
          <w:tcPr>
            <w:tcW w:w="11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F2307">
            <w:pPr>
              <w:spacing w:before="0" w:after="0" w:line="276" w:lineRule="auto"/>
              <w:jc w:val="left"/>
              <w:rPr>
                <w:rFonts w:hint="eastAsia" w:ascii="仿宋" w:hAnsi="仿宋" w:eastAsia="仿宋" w:cs="仿宋"/>
                <w:b w:val="0"/>
                <w:sz w:val="18"/>
              </w:rPr>
            </w:pPr>
          </w:p>
        </w:tc>
      </w:tr>
      <w:tr w14:paraId="348FC6B6">
        <w:trPr>
          <w:cantSplit/>
          <w:jc w:val="center"/>
        </w:trPr>
        <w:tc>
          <w:tcPr>
            <w:tcW w:w="11886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117D0">
            <w:pPr>
              <w:spacing w:before="0" w:after="0" w:line="276" w:lineRule="auto"/>
              <w:jc w:val="left"/>
              <w:rPr>
                <w:rFonts w:hint="default" w:ascii="仿宋" w:hAnsi="仿宋" w:eastAsia="宋体" w:cs="仿宋"/>
                <w:b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灯杆及配品配件、安装培训费等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需包含在总费用内。</w:t>
            </w:r>
          </w:p>
        </w:tc>
      </w:tr>
    </w:tbl>
    <w:p w14:paraId="6D683230">
      <w:pPr>
        <w:rPr>
          <w:rFonts w:hint="eastAsia" w:ascii="宋体" w:hAnsi="宋体" w:eastAsia="宋体" w:cs="宋体"/>
          <w:b/>
          <w:bCs/>
          <w:color w:val="auto"/>
          <w:szCs w:val="24"/>
          <w:shd w:val="clear" w:color="auto" w:fill="FFFFFF"/>
          <w:lang w:val="en-US" w:eastAsia="zh-CN"/>
        </w:rPr>
      </w:pPr>
    </w:p>
    <w:p w14:paraId="6B6A6994">
      <w:pPr>
        <w:rPr>
          <w:rFonts w:hint="eastAsia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60325</wp:posOffset>
            </wp:positionV>
            <wp:extent cx="4799330" cy="6793230"/>
            <wp:effectExtent l="0" t="0" r="127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679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灯位图（计划）：</w:t>
      </w:r>
    </w:p>
    <w:p w14:paraId="4B660641"/>
    <w:sectPr>
      <w:footerReference r:id="rId3" w:type="default"/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9591D4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35C3269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8E"/>
    <w:rsid w:val="0003211B"/>
    <w:rsid w:val="00097889"/>
    <w:rsid w:val="00150F1A"/>
    <w:rsid w:val="001B2726"/>
    <w:rsid w:val="00201344"/>
    <w:rsid w:val="00246F48"/>
    <w:rsid w:val="00265B08"/>
    <w:rsid w:val="002970D9"/>
    <w:rsid w:val="002C4CAB"/>
    <w:rsid w:val="002C7073"/>
    <w:rsid w:val="002D2257"/>
    <w:rsid w:val="0032498D"/>
    <w:rsid w:val="003608F7"/>
    <w:rsid w:val="0039499F"/>
    <w:rsid w:val="003A4DDD"/>
    <w:rsid w:val="003D2EBB"/>
    <w:rsid w:val="003D7284"/>
    <w:rsid w:val="0045095B"/>
    <w:rsid w:val="00451361"/>
    <w:rsid w:val="004934F1"/>
    <w:rsid w:val="004A2D58"/>
    <w:rsid w:val="004C145A"/>
    <w:rsid w:val="005469B1"/>
    <w:rsid w:val="00557A6E"/>
    <w:rsid w:val="00574D98"/>
    <w:rsid w:val="00582035"/>
    <w:rsid w:val="005B4416"/>
    <w:rsid w:val="006227FC"/>
    <w:rsid w:val="006731A2"/>
    <w:rsid w:val="0067658C"/>
    <w:rsid w:val="00693939"/>
    <w:rsid w:val="006C0118"/>
    <w:rsid w:val="006E4696"/>
    <w:rsid w:val="006E6454"/>
    <w:rsid w:val="00707932"/>
    <w:rsid w:val="007532DC"/>
    <w:rsid w:val="00782ADD"/>
    <w:rsid w:val="00790980"/>
    <w:rsid w:val="007C66B8"/>
    <w:rsid w:val="007E3897"/>
    <w:rsid w:val="007E791F"/>
    <w:rsid w:val="007F144A"/>
    <w:rsid w:val="007F79BD"/>
    <w:rsid w:val="0080111F"/>
    <w:rsid w:val="0082320E"/>
    <w:rsid w:val="008C0D1A"/>
    <w:rsid w:val="008C3CA5"/>
    <w:rsid w:val="008D3DB9"/>
    <w:rsid w:val="00916B77"/>
    <w:rsid w:val="00990C43"/>
    <w:rsid w:val="009C0EC8"/>
    <w:rsid w:val="00A06C47"/>
    <w:rsid w:val="00A239F7"/>
    <w:rsid w:val="00A85D8C"/>
    <w:rsid w:val="00A9044D"/>
    <w:rsid w:val="00AC5706"/>
    <w:rsid w:val="00AE3085"/>
    <w:rsid w:val="00AE6DF4"/>
    <w:rsid w:val="00AF3D2D"/>
    <w:rsid w:val="00AF5887"/>
    <w:rsid w:val="00B25F70"/>
    <w:rsid w:val="00B34ACF"/>
    <w:rsid w:val="00B607DA"/>
    <w:rsid w:val="00B67EAE"/>
    <w:rsid w:val="00B73B8E"/>
    <w:rsid w:val="00BD5A39"/>
    <w:rsid w:val="00BF014A"/>
    <w:rsid w:val="00C03E55"/>
    <w:rsid w:val="00C4782F"/>
    <w:rsid w:val="00C533E3"/>
    <w:rsid w:val="00C661AE"/>
    <w:rsid w:val="00CC09C9"/>
    <w:rsid w:val="00CD0DA5"/>
    <w:rsid w:val="00CE2F62"/>
    <w:rsid w:val="00D00049"/>
    <w:rsid w:val="00D75BEF"/>
    <w:rsid w:val="00D804A3"/>
    <w:rsid w:val="00DB63ED"/>
    <w:rsid w:val="00DC2030"/>
    <w:rsid w:val="00DD3571"/>
    <w:rsid w:val="00DE58ED"/>
    <w:rsid w:val="00E0620D"/>
    <w:rsid w:val="00E23720"/>
    <w:rsid w:val="00E71AD4"/>
    <w:rsid w:val="00ED3887"/>
    <w:rsid w:val="00EE7729"/>
    <w:rsid w:val="00F0127A"/>
    <w:rsid w:val="00F0331D"/>
    <w:rsid w:val="00F32B70"/>
    <w:rsid w:val="00F46C51"/>
    <w:rsid w:val="00F76825"/>
    <w:rsid w:val="00FA4B89"/>
    <w:rsid w:val="00FC098C"/>
    <w:rsid w:val="00FE567E"/>
    <w:rsid w:val="024B57D4"/>
    <w:rsid w:val="0314369E"/>
    <w:rsid w:val="12FC5EFD"/>
    <w:rsid w:val="13082AF4"/>
    <w:rsid w:val="13F54E26"/>
    <w:rsid w:val="151F3B71"/>
    <w:rsid w:val="162611AC"/>
    <w:rsid w:val="16451A30"/>
    <w:rsid w:val="17DE4A9F"/>
    <w:rsid w:val="22433200"/>
    <w:rsid w:val="22EC5646"/>
    <w:rsid w:val="276407F5"/>
    <w:rsid w:val="2B751144"/>
    <w:rsid w:val="2C444745"/>
    <w:rsid w:val="326E7E26"/>
    <w:rsid w:val="389B56ED"/>
    <w:rsid w:val="46B04006"/>
    <w:rsid w:val="4FE65048"/>
    <w:rsid w:val="50847384"/>
    <w:rsid w:val="55436A98"/>
    <w:rsid w:val="5DE53061"/>
    <w:rsid w:val="606A7066"/>
    <w:rsid w:val="64B66431"/>
    <w:rsid w:val="66510E40"/>
    <w:rsid w:val="681D761D"/>
    <w:rsid w:val="689B6EBF"/>
    <w:rsid w:val="69D12FAB"/>
    <w:rsid w:val="6C89702F"/>
    <w:rsid w:val="6F9603E0"/>
    <w:rsid w:val="71D02D8D"/>
    <w:rsid w:val="71DC5E53"/>
    <w:rsid w:val="79ED32F3"/>
    <w:rsid w:val="7A82168A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2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纯文本 字符"/>
    <w:basedOn w:val="10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3110</Words>
  <Characters>3470</Characters>
  <Lines>25</Lines>
  <Paragraphs>7</Paragraphs>
  <TotalTime>2</TotalTime>
  <ScaleCrop>false</ScaleCrop>
  <LinksUpToDate>false</LinksUpToDate>
  <CharactersWithSpaces>3599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2021-05-21T09:19:00Z</dcterms:created>
  <dc:creator>652594105@qq.com</dc:creator>
  <cp:lastModifiedBy>丰子</cp:lastModifiedBy>
  <cp:lastPrinted>2024-08-29T13:59:00Z</cp:lastPrinted>
  <dcterms:modified xsi:type="dcterms:W3CDTF">2026-07-22T00:15:57Z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eyJoZGlkIjoiMTJhZWNhYTViZjNhZTc2YzBhODczOTJiNjQxMzIyNzAiLCJ1c2VySWQiOiI0NTg0NDc1NDUifQ==</vt:lpwstr>
  </property>
  <property fmtid="{D5CDD505-2E9C-101B-9397-08002B2CF9AE}" pid="3" name="KSOProductBuildVer">
    <vt:lpwstr>2052-7.4.1.8983</vt:lpwstr>
  </property>
  <property fmtid="{D5CDD505-2E9C-101B-9397-08002B2CF9AE}" pid="4" name="ICV">
    <vt:lpwstr>49A90CEF592A6C153D9B5F6ABD5BD428_43</vt:lpwstr>
  </property>
</Properties>
</file>