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9945AF">
      <w:pPr>
        <w:pStyle w:val="2"/>
        <w:rPr>
          <w:rFonts w:ascii="Times New Roman" w:hAnsi="Times New Roman" w:eastAsia="宋体"/>
          <w:sz w:val="24"/>
        </w:rPr>
      </w:pPr>
      <w:bookmarkStart w:id="1" w:name="_GoBack"/>
      <w:r>
        <w:rPr>
          <w:rFonts w:hint="eastAsia" w:ascii="Times New Roman" w:hAnsi="Times New Roman" w:eastAsia="宋体"/>
          <w:sz w:val="24"/>
        </w:rPr>
        <w:t>附件3：比选评分表</w:t>
      </w:r>
    </w:p>
    <w:bookmarkEnd w:id="1"/>
    <w:p w14:paraId="07806D9E">
      <w:pPr>
        <w:jc w:val="center"/>
        <w:rPr>
          <w:b/>
          <w:sz w:val="28"/>
        </w:rPr>
      </w:pPr>
      <w:r>
        <w:rPr>
          <w:rFonts w:hint="eastAsia"/>
          <w:b/>
          <w:sz w:val="28"/>
        </w:rPr>
        <w:t>比选评分表</w:t>
      </w:r>
    </w:p>
    <w:p w14:paraId="517163B7">
      <w:pPr>
        <w:ind w:firstLine="420" w:firstLineChars="200"/>
      </w:pPr>
      <w:r>
        <w:rPr>
          <w:rFonts w:hint="eastAsia"/>
        </w:rPr>
        <w:t>项目名称：</w:t>
      </w:r>
    </w:p>
    <w:tbl>
      <w:tblPr>
        <w:tblStyle w:val="3"/>
        <w:tblW w:w="13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019"/>
        <w:gridCol w:w="6210"/>
        <w:gridCol w:w="1440"/>
        <w:gridCol w:w="3663"/>
      </w:tblGrid>
      <w:tr w14:paraId="7ADD13A8">
        <w:trPr>
          <w:trHeight w:val="405" w:hRule="atLeast"/>
          <w:tblHeader/>
          <w:jc w:val="center"/>
        </w:trPr>
        <w:tc>
          <w:tcPr>
            <w:tcW w:w="988" w:type="dxa"/>
            <w:shd w:val="clear" w:color="auto" w:fill="auto"/>
            <w:vAlign w:val="center"/>
          </w:tcPr>
          <w:p w14:paraId="1975E1C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序号</w:t>
            </w:r>
          </w:p>
        </w:tc>
        <w:tc>
          <w:tcPr>
            <w:tcW w:w="1019" w:type="dxa"/>
            <w:shd w:val="clear" w:color="auto" w:fill="auto"/>
            <w:vAlign w:val="center"/>
          </w:tcPr>
          <w:p w14:paraId="5DE6FB8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6210" w:type="dxa"/>
            <w:shd w:val="clear" w:color="auto" w:fill="auto"/>
            <w:vAlign w:val="center"/>
          </w:tcPr>
          <w:p w14:paraId="0B3967D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内容</w:t>
            </w:r>
          </w:p>
        </w:tc>
        <w:tc>
          <w:tcPr>
            <w:tcW w:w="1440" w:type="dxa"/>
            <w:shd w:val="clear" w:color="auto" w:fill="auto"/>
            <w:noWrap/>
            <w:vAlign w:val="center"/>
          </w:tcPr>
          <w:p w14:paraId="331EDCD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分值</w:t>
            </w:r>
          </w:p>
        </w:tc>
        <w:tc>
          <w:tcPr>
            <w:tcW w:w="3663" w:type="dxa"/>
            <w:shd w:val="clear" w:color="auto" w:fill="auto"/>
            <w:noWrap/>
            <w:vAlign w:val="center"/>
          </w:tcPr>
          <w:p w14:paraId="0CB2A83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打分原则</w:t>
            </w:r>
          </w:p>
        </w:tc>
      </w:tr>
      <w:tr w14:paraId="2C91003B">
        <w:trPr>
          <w:trHeight w:val="570" w:hRule="atLeast"/>
          <w:jc w:val="center"/>
        </w:trPr>
        <w:tc>
          <w:tcPr>
            <w:tcW w:w="988" w:type="dxa"/>
            <w:shd w:val="clear" w:color="auto" w:fill="auto"/>
            <w:vAlign w:val="center"/>
          </w:tcPr>
          <w:p w14:paraId="5F867B1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019" w:type="dxa"/>
            <w:vMerge w:val="restart"/>
            <w:shd w:val="clear" w:color="auto" w:fill="auto"/>
            <w:vAlign w:val="center"/>
          </w:tcPr>
          <w:p w14:paraId="0D2F4A8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资格</w:t>
            </w:r>
          </w:p>
        </w:tc>
        <w:tc>
          <w:tcPr>
            <w:tcW w:w="6210" w:type="dxa"/>
            <w:shd w:val="clear" w:color="auto" w:fill="auto"/>
            <w:noWrap/>
            <w:vAlign w:val="center"/>
          </w:tcPr>
          <w:p w14:paraId="3250786C">
            <w:pPr>
              <w:widowControl/>
              <w:rPr>
                <w:rFonts w:ascii="宋体" w:hAnsi="宋体" w:eastAsia="宋体" w:cs="宋体"/>
                <w:color w:val="333333"/>
                <w:kern w:val="0"/>
                <w:sz w:val="22"/>
              </w:rPr>
            </w:pPr>
            <w:r>
              <w:rPr>
                <w:rFonts w:hint="eastAsia" w:ascii="宋体" w:hAnsi="宋体" w:eastAsia="宋体" w:cs="宋体"/>
                <w:color w:val="333333"/>
                <w:kern w:val="0"/>
                <w:sz w:val="22"/>
              </w:rPr>
              <w:t>营业执照且满足公告要求</w:t>
            </w:r>
          </w:p>
        </w:tc>
        <w:tc>
          <w:tcPr>
            <w:tcW w:w="1440" w:type="dxa"/>
            <w:shd w:val="clear" w:color="auto" w:fill="auto"/>
            <w:noWrap/>
            <w:vAlign w:val="center"/>
          </w:tcPr>
          <w:p w14:paraId="43016CC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shd w:val="clear" w:color="auto" w:fill="auto"/>
            <w:vAlign w:val="center"/>
          </w:tcPr>
          <w:p w14:paraId="3EE2D9E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27B569CC">
        <w:trPr>
          <w:trHeight w:val="810" w:hRule="atLeast"/>
          <w:jc w:val="center"/>
        </w:trPr>
        <w:tc>
          <w:tcPr>
            <w:tcW w:w="988" w:type="dxa"/>
            <w:shd w:val="clear" w:color="auto" w:fill="auto"/>
            <w:vAlign w:val="center"/>
          </w:tcPr>
          <w:p w14:paraId="25A4C7D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1019" w:type="dxa"/>
            <w:vMerge w:val="continue"/>
            <w:vAlign w:val="center"/>
          </w:tcPr>
          <w:p w14:paraId="27A22418">
            <w:pPr>
              <w:widowControl/>
              <w:jc w:val="left"/>
              <w:rPr>
                <w:rFonts w:ascii="宋体" w:hAnsi="宋体" w:eastAsia="宋体" w:cs="宋体"/>
                <w:color w:val="000000"/>
                <w:kern w:val="0"/>
                <w:sz w:val="22"/>
              </w:rPr>
            </w:pPr>
          </w:p>
        </w:tc>
        <w:tc>
          <w:tcPr>
            <w:tcW w:w="6210" w:type="dxa"/>
            <w:shd w:val="clear" w:color="auto" w:fill="auto"/>
            <w:noWrap/>
            <w:vAlign w:val="center"/>
          </w:tcPr>
          <w:p w14:paraId="42B635A5">
            <w:pPr>
              <w:widowControl/>
              <w:rPr>
                <w:rFonts w:ascii="宋体" w:hAnsi="宋体" w:eastAsia="宋体" w:cs="宋体"/>
                <w:color w:val="333333"/>
                <w:kern w:val="0"/>
                <w:sz w:val="22"/>
              </w:rPr>
            </w:pPr>
            <w:r>
              <w:rPr>
                <w:rFonts w:hint="eastAsia" w:ascii="宋体" w:hAnsi="宋体" w:eastAsia="宋体" w:cs="宋体"/>
                <w:color w:val="333333"/>
                <w:kern w:val="0"/>
                <w:sz w:val="22"/>
              </w:rPr>
              <w:t>法人授权委托书（需附委托人及被委托人身份证复印件）</w:t>
            </w:r>
          </w:p>
        </w:tc>
        <w:tc>
          <w:tcPr>
            <w:tcW w:w="1440" w:type="dxa"/>
            <w:shd w:val="clear" w:color="auto" w:fill="auto"/>
            <w:noWrap/>
            <w:vAlign w:val="center"/>
          </w:tcPr>
          <w:p w14:paraId="1E75FEF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shd w:val="clear" w:color="auto" w:fill="auto"/>
            <w:vAlign w:val="center"/>
          </w:tcPr>
          <w:p w14:paraId="06B5F38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77436760">
        <w:trPr>
          <w:trHeight w:val="1620" w:hRule="atLeast"/>
          <w:jc w:val="center"/>
        </w:trPr>
        <w:tc>
          <w:tcPr>
            <w:tcW w:w="988" w:type="dxa"/>
            <w:shd w:val="clear" w:color="auto" w:fill="auto"/>
            <w:vAlign w:val="center"/>
          </w:tcPr>
          <w:p w14:paraId="0A361D2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1019" w:type="dxa"/>
            <w:vMerge w:val="continue"/>
            <w:vAlign w:val="center"/>
          </w:tcPr>
          <w:p w14:paraId="3D75ED39">
            <w:pPr>
              <w:widowControl/>
              <w:jc w:val="left"/>
              <w:rPr>
                <w:rFonts w:ascii="宋体" w:hAnsi="宋体" w:eastAsia="宋体" w:cs="宋体"/>
                <w:color w:val="000000"/>
                <w:kern w:val="0"/>
                <w:sz w:val="22"/>
              </w:rPr>
            </w:pPr>
          </w:p>
        </w:tc>
        <w:tc>
          <w:tcPr>
            <w:tcW w:w="6210" w:type="dxa"/>
            <w:shd w:val="clear" w:color="auto" w:fill="auto"/>
            <w:noWrap/>
            <w:vAlign w:val="center"/>
          </w:tcPr>
          <w:p w14:paraId="64CA36CC">
            <w:pPr>
              <w:widowControl/>
              <w:rPr>
                <w:rFonts w:ascii="宋体" w:hAnsi="宋体" w:eastAsia="宋体" w:cs="宋体"/>
                <w:color w:val="333333"/>
                <w:kern w:val="0"/>
                <w:sz w:val="22"/>
              </w:rPr>
            </w:pPr>
            <w:r>
              <w:rPr>
                <w:rFonts w:hint="eastAsia" w:ascii="宋体" w:hAnsi="宋体" w:eastAsia="宋体" w:cs="宋体"/>
                <w:color w:val="333333"/>
                <w:kern w:val="0"/>
                <w:sz w:val="22"/>
              </w:rPr>
              <w:t>上一年度财务审计报告复印件</w:t>
            </w:r>
            <w:r>
              <w:rPr>
                <w:rFonts w:hint="eastAsia" w:ascii="宋体" w:hAnsi="宋体" w:eastAsia="宋体" w:cs="宋体"/>
                <w:color w:val="000000" w:themeColor="text1"/>
                <w:kern w:val="0"/>
                <w:sz w:val="22"/>
                <w14:textFill>
                  <w14:solidFill>
                    <w14:schemeClr w14:val="tx1"/>
                  </w14:solidFill>
                </w14:textFill>
              </w:rPr>
              <w:t>（或提供以下三项：财务报表、银行出具的资信证明材料复印件、近半年任意一个月的依法缴纳税收的证明（纳税凭证）复印件）</w:t>
            </w:r>
          </w:p>
        </w:tc>
        <w:tc>
          <w:tcPr>
            <w:tcW w:w="1440" w:type="dxa"/>
            <w:shd w:val="clear" w:color="auto" w:fill="auto"/>
            <w:noWrap/>
            <w:vAlign w:val="center"/>
          </w:tcPr>
          <w:p w14:paraId="77A5A71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shd w:val="clear" w:color="auto" w:fill="auto"/>
            <w:vAlign w:val="center"/>
          </w:tcPr>
          <w:p w14:paraId="1F74CBE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624CF6E9">
        <w:trPr>
          <w:trHeight w:val="1215" w:hRule="atLeast"/>
          <w:jc w:val="center"/>
        </w:trPr>
        <w:tc>
          <w:tcPr>
            <w:tcW w:w="988" w:type="dxa"/>
            <w:shd w:val="clear" w:color="auto" w:fill="auto"/>
            <w:vAlign w:val="center"/>
          </w:tcPr>
          <w:p w14:paraId="651167D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1019" w:type="dxa"/>
            <w:vMerge w:val="continue"/>
            <w:vAlign w:val="center"/>
          </w:tcPr>
          <w:p w14:paraId="140B9350">
            <w:pPr>
              <w:widowControl/>
              <w:jc w:val="left"/>
              <w:rPr>
                <w:rFonts w:ascii="宋体" w:hAnsi="宋体" w:eastAsia="宋体" w:cs="宋体"/>
                <w:color w:val="000000"/>
                <w:kern w:val="0"/>
                <w:sz w:val="22"/>
              </w:rPr>
            </w:pPr>
          </w:p>
        </w:tc>
        <w:tc>
          <w:tcPr>
            <w:tcW w:w="6210" w:type="dxa"/>
            <w:shd w:val="clear" w:color="auto" w:fill="auto"/>
            <w:noWrap/>
            <w:vAlign w:val="center"/>
          </w:tcPr>
          <w:p w14:paraId="5D76D561">
            <w:pPr>
              <w:widowControl/>
              <w:rPr>
                <w:rFonts w:ascii="宋体" w:hAnsi="宋体" w:eastAsia="宋体" w:cs="宋体"/>
                <w:color w:val="333333"/>
                <w:kern w:val="0"/>
                <w:sz w:val="22"/>
              </w:rPr>
            </w:pPr>
            <w:r>
              <w:rPr>
                <w:rFonts w:hint="eastAsia" w:ascii="宋体" w:hAnsi="宋体" w:eastAsia="宋体" w:cs="宋体"/>
                <w:color w:val="333333"/>
                <w:kern w:val="0"/>
                <w:sz w:val="22"/>
              </w:rPr>
              <w:t>未被列入“信用中国”网站(www.creditchina.gov.cn)记录失信被执行人查询结果</w:t>
            </w:r>
          </w:p>
        </w:tc>
        <w:tc>
          <w:tcPr>
            <w:tcW w:w="1440" w:type="dxa"/>
            <w:shd w:val="clear" w:color="auto" w:fill="auto"/>
            <w:noWrap/>
            <w:vAlign w:val="center"/>
          </w:tcPr>
          <w:p w14:paraId="48897F9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shd w:val="clear" w:color="auto" w:fill="auto"/>
            <w:vAlign w:val="center"/>
          </w:tcPr>
          <w:p w14:paraId="416FAFE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4FFE9F69">
        <w:trPr>
          <w:trHeight w:val="1650" w:hRule="atLeast"/>
          <w:jc w:val="center"/>
        </w:trPr>
        <w:tc>
          <w:tcPr>
            <w:tcW w:w="988" w:type="dxa"/>
            <w:shd w:val="clear" w:color="auto" w:fill="auto"/>
            <w:vAlign w:val="center"/>
          </w:tcPr>
          <w:p w14:paraId="06604A3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1019" w:type="dxa"/>
            <w:vMerge w:val="continue"/>
            <w:vAlign w:val="center"/>
          </w:tcPr>
          <w:p w14:paraId="23E5B6A5">
            <w:pPr>
              <w:widowControl/>
              <w:jc w:val="left"/>
              <w:rPr>
                <w:rFonts w:ascii="宋体" w:hAnsi="宋体" w:eastAsia="宋体" w:cs="宋体"/>
                <w:color w:val="000000"/>
                <w:kern w:val="0"/>
                <w:sz w:val="22"/>
              </w:rPr>
            </w:pPr>
          </w:p>
        </w:tc>
        <w:tc>
          <w:tcPr>
            <w:tcW w:w="6210" w:type="dxa"/>
            <w:shd w:val="clear" w:color="auto" w:fill="auto"/>
            <w:vAlign w:val="center"/>
          </w:tcPr>
          <w:p w14:paraId="63A30CA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参选单位近三年（至比选日）无骗取中标、被限制投标、违约行为、重大责任事故承诺书（格式自拟）</w:t>
            </w:r>
          </w:p>
        </w:tc>
        <w:tc>
          <w:tcPr>
            <w:tcW w:w="1440" w:type="dxa"/>
            <w:shd w:val="clear" w:color="auto" w:fill="auto"/>
            <w:noWrap/>
            <w:vAlign w:val="center"/>
          </w:tcPr>
          <w:p w14:paraId="3F26378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shd w:val="clear" w:color="auto" w:fill="auto"/>
            <w:vAlign w:val="center"/>
          </w:tcPr>
          <w:p w14:paraId="285B60D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6A451C7E">
        <w:trPr>
          <w:trHeight w:val="1425" w:hRule="atLeast"/>
          <w:jc w:val="center"/>
        </w:trPr>
        <w:tc>
          <w:tcPr>
            <w:tcW w:w="988" w:type="dxa"/>
            <w:shd w:val="clear" w:color="auto" w:fill="auto"/>
            <w:vAlign w:val="center"/>
          </w:tcPr>
          <w:p w14:paraId="74AEA19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019" w:type="dxa"/>
            <w:shd w:val="clear" w:color="auto" w:fill="auto"/>
            <w:vAlign w:val="center"/>
          </w:tcPr>
          <w:p w14:paraId="08887D4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商务部分</w:t>
            </w:r>
          </w:p>
        </w:tc>
        <w:tc>
          <w:tcPr>
            <w:tcW w:w="6210" w:type="dxa"/>
            <w:shd w:val="clear" w:color="auto" w:fill="auto"/>
            <w:vAlign w:val="center"/>
          </w:tcPr>
          <w:p w14:paraId="0808513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近三年同类业绩</w:t>
            </w:r>
            <w:permStart w:id="0" w:edGrp="everyone"/>
            <w:r>
              <w:rPr>
                <w:rFonts w:hint="eastAsia" w:ascii="宋体" w:hAnsi="宋体" w:eastAsia="宋体" w:cs="宋体"/>
                <w:color w:val="000000"/>
                <w:kern w:val="0"/>
                <w:sz w:val="22"/>
              </w:rPr>
              <w:t>（2</w:t>
            </w:r>
            <w:r>
              <w:rPr>
                <w:rFonts w:ascii="宋体" w:hAnsi="宋体" w:eastAsia="宋体" w:cs="宋体"/>
                <w:color w:val="000000"/>
                <w:kern w:val="0"/>
                <w:sz w:val="22"/>
              </w:rPr>
              <w:t>02X</w:t>
            </w:r>
            <w:r>
              <w:rPr>
                <w:rFonts w:hint="eastAsia" w:ascii="宋体" w:hAnsi="宋体" w:eastAsia="宋体" w:cs="宋体"/>
                <w:color w:val="000000"/>
                <w:kern w:val="0"/>
                <w:sz w:val="22"/>
              </w:rPr>
              <w:t>年</w:t>
            </w:r>
            <w:r>
              <w:rPr>
                <w:rFonts w:ascii="宋体" w:hAnsi="宋体" w:eastAsia="宋体" w:cs="宋体"/>
                <w:color w:val="000000"/>
                <w:kern w:val="0"/>
                <w:sz w:val="22"/>
              </w:rPr>
              <w:t>1</w:t>
            </w:r>
            <w:r>
              <w:rPr>
                <w:rFonts w:hint="eastAsia" w:ascii="宋体" w:hAnsi="宋体" w:eastAsia="宋体" w:cs="宋体"/>
                <w:color w:val="000000"/>
                <w:kern w:val="0"/>
                <w:sz w:val="22"/>
              </w:rPr>
              <w:t>月</w:t>
            </w:r>
            <w:r>
              <w:rPr>
                <w:rFonts w:ascii="宋体" w:hAnsi="宋体" w:eastAsia="宋体" w:cs="宋体"/>
                <w:color w:val="000000"/>
                <w:kern w:val="0"/>
                <w:sz w:val="22"/>
              </w:rPr>
              <w:t>1</w:t>
            </w:r>
            <w:r>
              <w:rPr>
                <w:rFonts w:hint="eastAsia" w:ascii="宋体" w:hAnsi="宋体" w:eastAsia="宋体" w:cs="宋体"/>
                <w:color w:val="000000"/>
                <w:kern w:val="0"/>
                <w:sz w:val="22"/>
              </w:rPr>
              <w:t>日至比选公告发布之日）</w:t>
            </w:r>
            <w:permEnd w:id="0"/>
          </w:p>
        </w:tc>
        <w:tc>
          <w:tcPr>
            <w:tcW w:w="1440" w:type="dxa"/>
            <w:shd w:val="clear" w:color="auto" w:fill="auto"/>
            <w:noWrap/>
            <w:vAlign w:val="center"/>
          </w:tcPr>
          <w:p w14:paraId="52CCCB8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20</w:t>
            </w:r>
          </w:p>
        </w:tc>
        <w:tc>
          <w:tcPr>
            <w:tcW w:w="3663" w:type="dxa"/>
            <w:shd w:val="clear" w:color="auto" w:fill="auto"/>
            <w:vAlign w:val="center"/>
          </w:tcPr>
          <w:p w14:paraId="096B2248">
            <w:pPr>
              <w:widowControl/>
              <w:jc w:val="left"/>
              <w:rPr>
                <w:rFonts w:ascii="宋体" w:hAnsi="宋体" w:eastAsia="宋体" w:cs="宋体"/>
                <w:color w:val="000000"/>
                <w:kern w:val="0"/>
                <w:sz w:val="22"/>
              </w:rPr>
            </w:pPr>
            <w:permStart w:id="1" w:edGrp="everyone"/>
            <w:r>
              <w:rPr>
                <w:rFonts w:hint="eastAsia" w:ascii="宋体" w:hAnsi="宋体" w:eastAsia="宋体" w:cs="宋体"/>
                <w:color w:val="000000"/>
                <w:kern w:val="0"/>
                <w:sz w:val="22"/>
              </w:rPr>
              <w:t>每提供1个得</w:t>
            </w:r>
            <w:r>
              <w:rPr>
                <w:rFonts w:ascii="宋体" w:hAnsi="宋体" w:eastAsia="宋体" w:cs="宋体"/>
                <w:color w:val="000000"/>
                <w:kern w:val="0"/>
                <w:sz w:val="22"/>
              </w:rPr>
              <w:t>4</w:t>
            </w:r>
            <w:r>
              <w:rPr>
                <w:rFonts w:hint="eastAsia" w:ascii="宋体" w:hAnsi="宋体" w:eastAsia="宋体" w:cs="宋体"/>
                <w:color w:val="000000"/>
                <w:kern w:val="0"/>
                <w:sz w:val="22"/>
              </w:rPr>
              <w:t>分（与中小学校相关得</w:t>
            </w:r>
            <w:r>
              <w:rPr>
                <w:rFonts w:ascii="宋体" w:hAnsi="宋体" w:eastAsia="宋体" w:cs="宋体"/>
                <w:color w:val="000000"/>
                <w:kern w:val="0"/>
                <w:sz w:val="22"/>
              </w:rPr>
              <w:t>6</w:t>
            </w:r>
            <w:r>
              <w:rPr>
                <w:rFonts w:hint="eastAsia" w:ascii="宋体" w:hAnsi="宋体" w:eastAsia="宋体" w:cs="宋体"/>
                <w:color w:val="000000"/>
                <w:kern w:val="0"/>
                <w:sz w:val="22"/>
              </w:rPr>
              <w:t>分）满分</w:t>
            </w:r>
            <w:r>
              <w:rPr>
                <w:rFonts w:ascii="宋体" w:hAnsi="宋体" w:eastAsia="宋体" w:cs="宋体"/>
                <w:color w:val="000000"/>
                <w:kern w:val="0"/>
                <w:sz w:val="22"/>
              </w:rPr>
              <w:t>2</w:t>
            </w:r>
            <w:r>
              <w:rPr>
                <w:rFonts w:hint="eastAsia" w:ascii="宋体" w:hAnsi="宋体" w:eastAsia="宋体" w:cs="宋体"/>
                <w:color w:val="000000"/>
                <w:kern w:val="0"/>
                <w:sz w:val="22"/>
              </w:rPr>
              <w:t>0分。</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需提供合同关键信息（金额、时间、盖章页等）或项目履约（验收双方盖章版）合格评价证明文件作为得分依据。</w:t>
            </w:r>
            <w:permEnd w:id="1"/>
          </w:p>
        </w:tc>
      </w:tr>
      <w:tr w14:paraId="3276D401">
        <w:trPr>
          <w:trHeight w:val="1140" w:hRule="atLeast"/>
          <w:jc w:val="center"/>
        </w:trPr>
        <w:tc>
          <w:tcPr>
            <w:tcW w:w="988" w:type="dxa"/>
            <w:shd w:val="clear" w:color="auto" w:fill="auto"/>
            <w:vAlign w:val="center"/>
          </w:tcPr>
          <w:p w14:paraId="46273DE0">
            <w:pPr>
              <w:widowControl/>
              <w:jc w:val="center"/>
              <w:rPr>
                <w:rFonts w:ascii="宋体" w:hAnsi="宋体" w:eastAsia="宋体" w:cs="宋体"/>
                <w:color w:val="000000"/>
                <w:kern w:val="0"/>
                <w:sz w:val="22"/>
              </w:rPr>
            </w:pPr>
            <w:permStart w:id="2" w:edGrp="everyone" w:colFirst="1" w:colLast="1"/>
            <w:permStart w:id="3" w:edGrp="everyone" w:colFirst="2" w:colLast="2"/>
            <w:permStart w:id="4" w:edGrp="everyone" w:colFirst="3" w:colLast="3"/>
            <w:permStart w:id="5" w:edGrp="everyone" w:colFirst="4" w:colLast="4"/>
            <w:r>
              <w:rPr>
                <w:rFonts w:hint="eastAsia" w:ascii="宋体" w:hAnsi="宋体" w:eastAsia="宋体" w:cs="宋体"/>
                <w:color w:val="000000"/>
                <w:kern w:val="0"/>
                <w:sz w:val="22"/>
              </w:rPr>
              <w:t>2</w:t>
            </w:r>
          </w:p>
        </w:tc>
        <w:tc>
          <w:tcPr>
            <w:tcW w:w="1019" w:type="dxa"/>
            <w:vMerge w:val="restart"/>
            <w:shd w:val="clear" w:color="auto" w:fill="auto"/>
            <w:vAlign w:val="center"/>
          </w:tcPr>
          <w:p w14:paraId="0D8FD56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技术部分</w:t>
            </w:r>
          </w:p>
        </w:tc>
        <w:tc>
          <w:tcPr>
            <w:tcW w:w="6210" w:type="dxa"/>
            <w:shd w:val="clear" w:color="auto" w:fill="auto"/>
            <w:vAlign w:val="center"/>
          </w:tcPr>
          <w:p w14:paraId="4D86B94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项目实施团队配置</w:t>
            </w:r>
          </w:p>
        </w:tc>
        <w:tc>
          <w:tcPr>
            <w:tcW w:w="1440" w:type="dxa"/>
            <w:shd w:val="clear" w:color="auto" w:fill="auto"/>
            <w:noWrap/>
            <w:vAlign w:val="center"/>
          </w:tcPr>
          <w:p w14:paraId="21D1F02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10</w:t>
            </w:r>
          </w:p>
        </w:tc>
        <w:tc>
          <w:tcPr>
            <w:tcW w:w="3663" w:type="dxa"/>
            <w:shd w:val="clear" w:color="auto" w:fill="auto"/>
            <w:vAlign w:val="center"/>
          </w:tcPr>
          <w:p w14:paraId="3931DCD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根据服务团队人员的配置情况、分工情况及人员所持证书情况进行评比，优得8-10分;中得5-7分；差得0-</w:t>
            </w:r>
            <w:r>
              <w:rPr>
                <w:rFonts w:ascii="宋体" w:hAnsi="宋体" w:eastAsia="宋体" w:cs="宋体"/>
                <w:color w:val="000000"/>
                <w:kern w:val="0"/>
                <w:sz w:val="22"/>
              </w:rPr>
              <w:t>4</w:t>
            </w:r>
            <w:r>
              <w:rPr>
                <w:rFonts w:hint="eastAsia" w:ascii="宋体" w:hAnsi="宋体" w:eastAsia="宋体" w:cs="宋体"/>
                <w:color w:val="000000"/>
                <w:kern w:val="0"/>
                <w:sz w:val="22"/>
              </w:rPr>
              <w:t>分。(不提供得0分)</w:t>
            </w:r>
          </w:p>
        </w:tc>
      </w:tr>
      <w:permEnd w:id="2"/>
      <w:permEnd w:id="3"/>
      <w:permEnd w:id="4"/>
      <w:permEnd w:id="5"/>
      <w:tr w14:paraId="34AC3C96">
        <w:trPr>
          <w:trHeight w:val="855" w:hRule="atLeast"/>
          <w:jc w:val="center"/>
        </w:trPr>
        <w:tc>
          <w:tcPr>
            <w:tcW w:w="988" w:type="dxa"/>
            <w:shd w:val="clear" w:color="auto" w:fill="auto"/>
            <w:vAlign w:val="center"/>
          </w:tcPr>
          <w:p w14:paraId="62CEBB88">
            <w:pPr>
              <w:widowControl/>
              <w:jc w:val="center"/>
              <w:rPr>
                <w:rFonts w:ascii="宋体" w:hAnsi="宋体" w:eastAsia="宋体" w:cs="宋体"/>
                <w:color w:val="000000"/>
                <w:kern w:val="0"/>
                <w:sz w:val="22"/>
              </w:rPr>
            </w:pPr>
            <w:permStart w:id="6" w:edGrp="everyone" w:colFirst="2" w:colLast="2"/>
            <w:permStart w:id="7" w:edGrp="everyone" w:colFirst="3" w:colLast="3"/>
            <w:permStart w:id="8" w:edGrp="everyone" w:colFirst="4" w:colLast="4"/>
            <w:r>
              <w:rPr>
                <w:rFonts w:hint="eastAsia" w:ascii="宋体" w:hAnsi="宋体" w:eastAsia="宋体" w:cs="宋体"/>
                <w:color w:val="000000"/>
                <w:kern w:val="0"/>
                <w:sz w:val="22"/>
              </w:rPr>
              <w:t>3</w:t>
            </w:r>
          </w:p>
        </w:tc>
        <w:tc>
          <w:tcPr>
            <w:tcW w:w="1019" w:type="dxa"/>
            <w:vMerge w:val="continue"/>
            <w:vAlign w:val="center"/>
          </w:tcPr>
          <w:p w14:paraId="48C2C858">
            <w:pPr>
              <w:widowControl/>
              <w:jc w:val="left"/>
              <w:rPr>
                <w:rFonts w:ascii="宋体" w:hAnsi="宋体" w:eastAsia="宋体" w:cs="宋体"/>
                <w:color w:val="000000"/>
                <w:kern w:val="0"/>
                <w:sz w:val="22"/>
              </w:rPr>
            </w:pPr>
          </w:p>
        </w:tc>
        <w:tc>
          <w:tcPr>
            <w:tcW w:w="6210" w:type="dxa"/>
            <w:shd w:val="clear" w:color="auto" w:fill="auto"/>
            <w:vAlign w:val="center"/>
          </w:tcPr>
          <w:p w14:paraId="326B491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项目方案</w:t>
            </w:r>
          </w:p>
        </w:tc>
        <w:tc>
          <w:tcPr>
            <w:tcW w:w="1440" w:type="dxa"/>
            <w:shd w:val="clear" w:color="auto" w:fill="auto"/>
            <w:noWrap/>
            <w:vAlign w:val="center"/>
          </w:tcPr>
          <w:p w14:paraId="17B3F45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30</w:t>
            </w:r>
          </w:p>
        </w:tc>
        <w:tc>
          <w:tcPr>
            <w:tcW w:w="3663" w:type="dxa"/>
            <w:shd w:val="clear" w:color="auto" w:fill="auto"/>
            <w:vAlign w:val="center"/>
          </w:tcPr>
          <w:p w14:paraId="3CB7A11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对方案做全面分析阐述。优得20-30分;中得10-</w:t>
            </w:r>
            <w:r>
              <w:rPr>
                <w:rFonts w:ascii="宋体" w:hAnsi="宋体" w:eastAsia="宋体" w:cs="宋体"/>
                <w:color w:val="000000"/>
                <w:kern w:val="0"/>
                <w:sz w:val="22"/>
              </w:rPr>
              <w:t>19</w:t>
            </w:r>
            <w:r>
              <w:rPr>
                <w:rFonts w:hint="eastAsia" w:ascii="宋体" w:hAnsi="宋体" w:eastAsia="宋体" w:cs="宋体"/>
                <w:color w:val="000000"/>
                <w:kern w:val="0"/>
                <w:sz w:val="22"/>
              </w:rPr>
              <w:t>分；差得0-</w:t>
            </w:r>
            <w:r>
              <w:rPr>
                <w:rFonts w:ascii="宋体" w:hAnsi="宋体" w:eastAsia="宋体" w:cs="宋体"/>
                <w:color w:val="000000"/>
                <w:kern w:val="0"/>
                <w:sz w:val="22"/>
              </w:rPr>
              <w:t>9</w:t>
            </w:r>
            <w:r>
              <w:rPr>
                <w:rFonts w:hint="eastAsia" w:ascii="宋体" w:hAnsi="宋体" w:eastAsia="宋体" w:cs="宋体"/>
                <w:color w:val="000000"/>
                <w:kern w:val="0"/>
                <w:sz w:val="22"/>
              </w:rPr>
              <w:t>分。(不提供得0分)</w:t>
            </w:r>
          </w:p>
        </w:tc>
      </w:tr>
      <w:permEnd w:id="6"/>
      <w:permEnd w:id="7"/>
      <w:permEnd w:id="8"/>
      <w:tr w14:paraId="3782C037">
        <w:trPr>
          <w:trHeight w:val="855" w:hRule="atLeast"/>
          <w:jc w:val="center"/>
        </w:trPr>
        <w:tc>
          <w:tcPr>
            <w:tcW w:w="988" w:type="dxa"/>
            <w:shd w:val="clear" w:color="auto" w:fill="auto"/>
            <w:vAlign w:val="center"/>
          </w:tcPr>
          <w:p w14:paraId="03F5D6FA">
            <w:pPr>
              <w:widowControl/>
              <w:jc w:val="center"/>
              <w:rPr>
                <w:rFonts w:ascii="宋体" w:hAnsi="宋体" w:eastAsia="宋体" w:cs="宋体"/>
                <w:color w:val="000000"/>
                <w:kern w:val="0"/>
                <w:sz w:val="22"/>
              </w:rPr>
            </w:pPr>
            <w:permStart w:id="9" w:edGrp="everyone" w:colFirst="2" w:colLast="2"/>
            <w:permStart w:id="10" w:edGrp="everyone" w:colFirst="3" w:colLast="3"/>
            <w:permStart w:id="11" w:edGrp="everyone" w:colFirst="4" w:colLast="4"/>
            <w:r>
              <w:rPr>
                <w:rFonts w:hint="eastAsia" w:ascii="宋体" w:hAnsi="宋体" w:eastAsia="宋体" w:cs="宋体"/>
                <w:color w:val="000000"/>
                <w:kern w:val="0"/>
                <w:sz w:val="22"/>
              </w:rPr>
              <w:t>4</w:t>
            </w:r>
          </w:p>
        </w:tc>
        <w:tc>
          <w:tcPr>
            <w:tcW w:w="1019" w:type="dxa"/>
            <w:vMerge w:val="continue"/>
            <w:vAlign w:val="center"/>
          </w:tcPr>
          <w:p w14:paraId="66E8F775">
            <w:pPr>
              <w:widowControl/>
              <w:jc w:val="left"/>
              <w:rPr>
                <w:rFonts w:ascii="宋体" w:hAnsi="宋体" w:eastAsia="宋体" w:cs="宋体"/>
                <w:color w:val="000000"/>
                <w:kern w:val="0"/>
                <w:sz w:val="22"/>
              </w:rPr>
            </w:pPr>
          </w:p>
        </w:tc>
        <w:tc>
          <w:tcPr>
            <w:tcW w:w="6210" w:type="dxa"/>
            <w:shd w:val="clear" w:color="auto" w:fill="auto"/>
            <w:vAlign w:val="center"/>
          </w:tcPr>
          <w:p w14:paraId="4D7CF63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项目进度、质量保证及售后服务</w:t>
            </w:r>
          </w:p>
        </w:tc>
        <w:tc>
          <w:tcPr>
            <w:tcW w:w="1440" w:type="dxa"/>
            <w:shd w:val="clear" w:color="auto" w:fill="auto"/>
            <w:noWrap/>
            <w:vAlign w:val="center"/>
          </w:tcPr>
          <w:p w14:paraId="6499F4B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10</w:t>
            </w:r>
          </w:p>
        </w:tc>
        <w:tc>
          <w:tcPr>
            <w:tcW w:w="3663" w:type="dxa"/>
            <w:shd w:val="clear" w:color="auto" w:fill="auto"/>
            <w:vAlign w:val="center"/>
          </w:tcPr>
          <w:p w14:paraId="2ABD866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提供进度和质量保证及售后服务的承诺(提供承诺函，</w:t>
            </w:r>
            <w:bookmarkStart w:id="0" w:name="OLE_LINK4"/>
            <w:r>
              <w:rPr>
                <w:rFonts w:hint="eastAsia" w:ascii="宋体" w:hAnsi="宋体" w:eastAsia="宋体" w:cs="宋体"/>
                <w:color w:val="000000"/>
                <w:kern w:val="0"/>
                <w:sz w:val="22"/>
              </w:rPr>
              <w:t>格式见附件4</w:t>
            </w:r>
            <w:bookmarkEnd w:id="0"/>
            <w:r>
              <w:rPr>
                <w:rFonts w:hint="eastAsia" w:ascii="宋体" w:hAnsi="宋体" w:eastAsia="宋体" w:cs="宋体"/>
                <w:color w:val="000000"/>
                <w:kern w:val="0"/>
                <w:sz w:val="22"/>
              </w:rPr>
              <w:t>)，得10分。（未承诺不得分）</w:t>
            </w:r>
          </w:p>
        </w:tc>
      </w:tr>
      <w:permEnd w:id="9"/>
      <w:permEnd w:id="10"/>
      <w:permEnd w:id="11"/>
      <w:tr w14:paraId="6BA44BBD">
        <w:trPr>
          <w:trHeight w:val="855" w:hRule="atLeast"/>
          <w:jc w:val="center"/>
        </w:trPr>
        <w:tc>
          <w:tcPr>
            <w:tcW w:w="988" w:type="dxa"/>
            <w:shd w:val="clear" w:color="auto" w:fill="auto"/>
            <w:vAlign w:val="center"/>
          </w:tcPr>
          <w:p w14:paraId="0454A36C">
            <w:pPr>
              <w:widowControl/>
              <w:jc w:val="center"/>
              <w:rPr>
                <w:rFonts w:ascii="宋体" w:hAnsi="宋体" w:eastAsia="宋体" w:cs="宋体"/>
                <w:color w:val="000000"/>
                <w:kern w:val="0"/>
                <w:sz w:val="22"/>
              </w:rPr>
            </w:pPr>
            <w:r>
              <w:rPr>
                <w:rFonts w:ascii="宋体" w:hAnsi="宋体" w:eastAsia="宋体" w:cs="宋体"/>
                <w:color w:val="000000"/>
                <w:kern w:val="0"/>
                <w:sz w:val="22"/>
              </w:rPr>
              <w:t>5</w:t>
            </w:r>
          </w:p>
        </w:tc>
        <w:tc>
          <w:tcPr>
            <w:tcW w:w="1019" w:type="dxa"/>
            <w:shd w:val="clear" w:color="auto" w:fill="auto"/>
            <w:vAlign w:val="center"/>
          </w:tcPr>
          <w:p w14:paraId="6C77193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价格部分</w:t>
            </w:r>
          </w:p>
        </w:tc>
        <w:tc>
          <w:tcPr>
            <w:tcW w:w="6210" w:type="dxa"/>
            <w:shd w:val="clear" w:color="auto" w:fill="auto"/>
            <w:vAlign w:val="center"/>
          </w:tcPr>
          <w:p w14:paraId="0003482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报价</w:t>
            </w:r>
          </w:p>
        </w:tc>
        <w:tc>
          <w:tcPr>
            <w:tcW w:w="1440" w:type="dxa"/>
            <w:shd w:val="clear" w:color="auto" w:fill="auto"/>
            <w:noWrap/>
            <w:vAlign w:val="center"/>
          </w:tcPr>
          <w:p w14:paraId="4D65053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30</w:t>
            </w:r>
          </w:p>
        </w:tc>
        <w:tc>
          <w:tcPr>
            <w:tcW w:w="3663" w:type="dxa"/>
            <w:shd w:val="clear" w:color="auto" w:fill="auto"/>
            <w:vAlign w:val="center"/>
          </w:tcPr>
          <w:p w14:paraId="59374D8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报价最低得满分，（最低响应报价/响应报价）*该项总分值(四舍五入后取整）</w:t>
            </w:r>
          </w:p>
        </w:tc>
      </w:tr>
      <w:tr w14:paraId="7C0C256A">
        <w:trPr>
          <w:trHeight w:val="405" w:hRule="atLeast"/>
          <w:jc w:val="center"/>
        </w:trPr>
        <w:tc>
          <w:tcPr>
            <w:tcW w:w="8217" w:type="dxa"/>
            <w:gridSpan w:val="3"/>
            <w:shd w:val="clear" w:color="auto" w:fill="auto"/>
            <w:vAlign w:val="center"/>
          </w:tcPr>
          <w:p w14:paraId="3A5404D3">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总得分</w:t>
            </w:r>
          </w:p>
        </w:tc>
        <w:tc>
          <w:tcPr>
            <w:tcW w:w="1440" w:type="dxa"/>
            <w:shd w:val="clear" w:color="auto" w:fill="auto"/>
            <w:vAlign w:val="center"/>
          </w:tcPr>
          <w:p w14:paraId="22517C84">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100</w:t>
            </w:r>
          </w:p>
        </w:tc>
        <w:tc>
          <w:tcPr>
            <w:tcW w:w="3663" w:type="dxa"/>
            <w:shd w:val="clear" w:color="auto" w:fill="auto"/>
            <w:vAlign w:val="center"/>
          </w:tcPr>
          <w:p w14:paraId="72BC1581">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　</w:t>
            </w:r>
          </w:p>
        </w:tc>
      </w:tr>
    </w:tbl>
    <w:p w14:paraId="1A071592">
      <w:pPr>
        <w:sectPr>
          <w:pgSz w:w="16838" w:h="11906" w:orient="landscape"/>
          <w:pgMar w:top="1135" w:right="1440" w:bottom="1800" w:left="1135" w:header="851" w:footer="617" w:gutter="0"/>
          <w:cols w:space="425" w:num="1"/>
          <w:docGrid w:type="lines" w:linePitch="312" w:charSpace="0"/>
        </w:sectPr>
      </w:pPr>
      <w:r>
        <w:rPr>
          <w:rFonts w:hint="eastAsia"/>
        </w:rPr>
        <w:t>注：比选小组根据评分标准对资格审查合格的响应文件进行综合比较与评价，汇总每个供应商的得分（评审总得分分值按四舍五入原则取整）。按评审最终得分由高到低顺序排列，排名第一的供应商成为成交供应商（出现并列第一的情况，则依次将报价高低、技术部分得分高低、商务部分得分高低作为确定中选候选人的标准，直至选出中选候选人）。</w:t>
      </w:r>
    </w:p>
    <w:p w14:paraId="4E1F404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7F1B1A"/>
    <w:rsid w:val="4F7F1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9"/>
    <w:pPr>
      <w:keepNext/>
      <w:keepLines/>
      <w:spacing w:before="260" w:after="260" w:line="416" w:lineRule="auto"/>
      <w:outlineLvl w:val="1"/>
    </w:pPr>
    <w:rPr>
      <w:rFonts w:ascii="Arial" w:hAnsi="Arial" w:eastAsia="黑体" w:cs="Times New Roman"/>
      <w:b/>
      <w:bCs/>
      <w:sz w:val="32"/>
      <w:szCs w:val="3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2026-10-09T13:31:00Z</dcterms:created>
  <dc:creator>丰子</dc:creator>
  <cp:lastModifiedBy>丰子</cp:lastModifiedBy>
  <dcterms:modified xsi:type="dcterms:W3CDTF">2026-10-09T13:32:00Z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D11F70842A2B13DE437CC86AFFCEC6C0_41</vt:lpwstr>
  </property>
</Properties>
</file>